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1A" w:rsidRDefault="00374C1A" w:rsidP="00374C1A">
      <w:pPr>
        <w:spacing w:after="0"/>
        <w:jc w:val="center"/>
        <w:rPr>
          <w:rFonts w:ascii="Arial" w:hAnsi="Arial" w:cs="Arial"/>
          <w:b/>
          <w:bCs/>
          <w:sz w:val="24"/>
          <w:lang w:val="es-MX"/>
        </w:rPr>
      </w:pPr>
      <w:r>
        <w:rPr>
          <w:rFonts w:ascii="Arial" w:hAnsi="Arial" w:cs="Arial"/>
          <w:b/>
          <w:bCs/>
          <w:sz w:val="24"/>
          <w:lang w:val="es-MX"/>
        </w:rPr>
        <w:t>CAMARA DE COMERCIO DE CALI</w:t>
      </w:r>
    </w:p>
    <w:p w:rsidR="00374C1A" w:rsidRDefault="00374C1A" w:rsidP="00374C1A">
      <w:pPr>
        <w:spacing w:after="0"/>
        <w:jc w:val="center"/>
        <w:rPr>
          <w:rFonts w:ascii="Arial" w:hAnsi="Arial" w:cs="Arial"/>
          <w:b/>
          <w:bCs/>
          <w:sz w:val="24"/>
          <w:lang w:val="es-MX"/>
        </w:rPr>
      </w:pPr>
      <w:r w:rsidRPr="0075194F">
        <w:rPr>
          <w:rFonts w:ascii="Arial" w:hAnsi="Arial" w:cs="Arial"/>
          <w:b/>
          <w:bCs/>
          <w:sz w:val="24"/>
          <w:lang w:val="es-MX"/>
        </w:rPr>
        <w:t xml:space="preserve">GESTION DE CONTROL INTERNO </w:t>
      </w:r>
      <w:r>
        <w:rPr>
          <w:rFonts w:ascii="Arial" w:hAnsi="Arial" w:cs="Arial"/>
          <w:b/>
          <w:bCs/>
          <w:sz w:val="24"/>
          <w:lang w:val="es-MX"/>
        </w:rPr>
        <w:t>INSTITUCIONAL</w:t>
      </w:r>
      <w:r>
        <w:rPr>
          <w:rFonts w:ascii="Arial" w:hAnsi="Arial" w:cs="Arial"/>
          <w:b/>
          <w:bCs/>
          <w:sz w:val="24"/>
          <w:lang w:val="es-MX"/>
        </w:rPr>
        <w:t>:</w:t>
      </w:r>
    </w:p>
    <w:p w:rsidR="00374C1A" w:rsidRDefault="00374C1A" w:rsidP="00374C1A">
      <w:pPr>
        <w:spacing w:after="0"/>
        <w:jc w:val="center"/>
        <w:rPr>
          <w:rFonts w:ascii="Arial" w:hAnsi="Arial" w:cs="Arial"/>
          <w:b/>
          <w:bCs/>
          <w:sz w:val="24"/>
          <w:lang w:val="es-MX"/>
        </w:rPr>
      </w:pPr>
      <w:r>
        <w:rPr>
          <w:rFonts w:ascii="Arial" w:hAnsi="Arial" w:cs="Arial"/>
          <w:b/>
          <w:bCs/>
          <w:sz w:val="24"/>
          <w:lang w:val="es-MX"/>
        </w:rPr>
        <w:t xml:space="preserve"> </w:t>
      </w:r>
      <w:r w:rsidRPr="0075194F">
        <w:rPr>
          <w:rFonts w:ascii="Arial" w:hAnsi="Arial" w:cs="Arial"/>
          <w:b/>
          <w:bCs/>
          <w:sz w:val="24"/>
          <w:lang w:val="es-MX"/>
        </w:rPr>
        <w:t>AÑO 2016</w:t>
      </w:r>
    </w:p>
    <w:p w:rsidR="00374C1A" w:rsidRPr="0075194F" w:rsidRDefault="00374C1A" w:rsidP="00374C1A">
      <w:pPr>
        <w:jc w:val="center"/>
        <w:rPr>
          <w:rFonts w:ascii="Arial" w:hAnsi="Arial" w:cs="Arial"/>
          <w:b/>
          <w:bCs/>
          <w:sz w:val="24"/>
          <w:lang w:val="es-MX"/>
        </w:rPr>
      </w:pPr>
    </w:p>
    <w:p w:rsidR="00374C1A" w:rsidRPr="0075194F" w:rsidRDefault="00374C1A" w:rsidP="00374C1A">
      <w:pPr>
        <w:pStyle w:val="Prrafodelista"/>
        <w:ind w:left="0"/>
        <w:jc w:val="both"/>
        <w:rPr>
          <w:rFonts w:ascii="Arial" w:hAnsi="Arial" w:cs="Arial"/>
          <w:lang w:val="es-MX"/>
        </w:rPr>
      </w:pPr>
      <w:r w:rsidRPr="0075194F">
        <w:rPr>
          <w:rFonts w:ascii="Arial" w:hAnsi="Arial" w:cs="Arial"/>
          <w:lang w:val="es-MX"/>
        </w:rPr>
        <w:t>A continuación, describimos por componente bajo la metodología COSO, los proyectos, acciones y logros más relevantes que la entidad ejecutó en el año 2016 que permitieron asegurar la efectividad del sistema de control interno (SCI) y que contribuyeron al cumplimiento de los objetivos definidos del plan de acción de la entidad, a saber:</w:t>
      </w:r>
    </w:p>
    <w:p w:rsidR="00374C1A" w:rsidRPr="0075194F" w:rsidRDefault="00374C1A" w:rsidP="00374C1A">
      <w:pPr>
        <w:pStyle w:val="Prrafodelista"/>
        <w:autoSpaceDE w:val="0"/>
        <w:autoSpaceDN w:val="0"/>
        <w:ind w:left="0"/>
        <w:contextualSpacing w:val="0"/>
        <w:jc w:val="both"/>
        <w:rPr>
          <w:rFonts w:ascii="Arial" w:hAnsi="Arial" w:cs="Arial"/>
          <w:b/>
          <w:lang w:val="es-MX"/>
        </w:rPr>
      </w:pPr>
    </w:p>
    <w:p w:rsidR="00374C1A" w:rsidRPr="0075194F" w:rsidRDefault="00374C1A" w:rsidP="00374C1A">
      <w:pPr>
        <w:pStyle w:val="Prrafodelista"/>
        <w:numPr>
          <w:ilvl w:val="0"/>
          <w:numId w:val="15"/>
        </w:numPr>
        <w:autoSpaceDE w:val="0"/>
        <w:autoSpaceDN w:val="0"/>
        <w:contextualSpacing w:val="0"/>
        <w:jc w:val="both"/>
        <w:rPr>
          <w:rFonts w:ascii="Arial" w:hAnsi="Arial" w:cs="Arial"/>
        </w:rPr>
      </w:pPr>
      <w:r w:rsidRPr="0075194F">
        <w:rPr>
          <w:rFonts w:ascii="Arial" w:hAnsi="Arial" w:cs="Arial"/>
          <w:b/>
          <w:lang w:val="es-MX"/>
        </w:rPr>
        <w:t xml:space="preserve">Componente ambiente de control: </w:t>
      </w:r>
      <w:r w:rsidRPr="0075194F">
        <w:rPr>
          <w:rFonts w:ascii="Arial" w:hAnsi="Arial" w:cs="Arial"/>
          <w:bCs/>
        </w:rPr>
        <w:t>está dado por los elementos de la cultura organizacional de la Cámara que fomentan principios, valores y conductas orientadas hacia el control en todos los empleados,</w:t>
      </w:r>
      <w:r w:rsidRPr="0075194F">
        <w:rPr>
          <w:rFonts w:ascii="Arial" w:hAnsi="Arial" w:cs="Arial"/>
          <w:lang w:val="es-MX"/>
        </w:rPr>
        <w:t xml:space="preserve"> fortalecimiento del clima organizacional, cultura corporativa, gobierno y bienestar del talento humano.</w:t>
      </w:r>
    </w:p>
    <w:p w:rsidR="00374C1A" w:rsidRPr="0075194F" w:rsidRDefault="00374C1A" w:rsidP="00374C1A">
      <w:pPr>
        <w:pStyle w:val="Prrafodelista"/>
        <w:ind w:left="0"/>
        <w:jc w:val="both"/>
        <w:rPr>
          <w:rFonts w:ascii="Arial" w:hAnsi="Arial" w:cs="Arial"/>
          <w:lang w:val="es-MX"/>
        </w:rPr>
      </w:pPr>
      <w:r w:rsidRPr="0075194F">
        <w:rPr>
          <w:rFonts w:ascii="Arial" w:hAnsi="Arial" w:cs="Arial"/>
          <w:lang w:val="es-MX"/>
        </w:rPr>
        <w:t xml:space="preserve">Las siguientes actividades y programas ejecutados en el año, estuvieron dirigidas al fortalecimiento de las competencias, liderazgo y programas de calidad de calidad de vida de los colaboradores </w:t>
      </w:r>
    </w:p>
    <w:p w:rsidR="00374C1A" w:rsidRPr="0075194F" w:rsidRDefault="00374C1A" w:rsidP="00374C1A">
      <w:pPr>
        <w:pStyle w:val="Prrafodelista"/>
        <w:widowControl w:val="0"/>
        <w:autoSpaceDE w:val="0"/>
        <w:autoSpaceDN w:val="0"/>
        <w:adjustRightInd w:val="0"/>
        <w:ind w:left="360"/>
        <w:jc w:val="both"/>
        <w:rPr>
          <w:rFonts w:ascii="Arial" w:hAnsi="Arial" w:cs="Arial"/>
        </w:rPr>
      </w:pPr>
    </w:p>
    <w:p w:rsidR="00374C1A" w:rsidRPr="0075194F" w:rsidRDefault="00374C1A" w:rsidP="00374C1A">
      <w:pPr>
        <w:pStyle w:val="Prrafodelista"/>
        <w:widowControl w:val="0"/>
        <w:numPr>
          <w:ilvl w:val="0"/>
          <w:numId w:val="13"/>
        </w:numPr>
        <w:autoSpaceDE w:val="0"/>
        <w:autoSpaceDN w:val="0"/>
        <w:adjustRightInd w:val="0"/>
        <w:spacing w:after="0" w:line="240" w:lineRule="auto"/>
        <w:ind w:left="360"/>
        <w:jc w:val="both"/>
        <w:rPr>
          <w:rFonts w:ascii="Arial" w:hAnsi="Arial" w:cs="Arial"/>
        </w:rPr>
      </w:pPr>
      <w:r w:rsidRPr="0075194F">
        <w:rPr>
          <w:rFonts w:ascii="Arial" w:hAnsi="Arial" w:cs="Arial"/>
        </w:rPr>
        <w:t xml:space="preserve">Modelo de competencias </w:t>
      </w:r>
    </w:p>
    <w:p w:rsidR="00374C1A" w:rsidRPr="0075194F" w:rsidRDefault="00374C1A" w:rsidP="00374C1A">
      <w:pPr>
        <w:pStyle w:val="Prrafodelista"/>
        <w:widowControl w:val="0"/>
        <w:numPr>
          <w:ilvl w:val="0"/>
          <w:numId w:val="13"/>
        </w:numPr>
        <w:autoSpaceDE w:val="0"/>
        <w:autoSpaceDN w:val="0"/>
        <w:adjustRightInd w:val="0"/>
        <w:spacing w:after="0" w:line="240" w:lineRule="auto"/>
        <w:ind w:left="360"/>
        <w:jc w:val="both"/>
        <w:rPr>
          <w:rFonts w:ascii="Arial" w:hAnsi="Arial" w:cs="Arial"/>
        </w:rPr>
      </w:pPr>
      <w:r w:rsidRPr="0075194F">
        <w:rPr>
          <w:rFonts w:ascii="Arial" w:hAnsi="Arial" w:cs="Arial"/>
        </w:rPr>
        <w:t xml:space="preserve">Evaluación de desempeño por competencias </w:t>
      </w:r>
    </w:p>
    <w:p w:rsidR="00374C1A" w:rsidRPr="0075194F" w:rsidRDefault="00374C1A" w:rsidP="00374C1A">
      <w:pPr>
        <w:pStyle w:val="Prrafodelista"/>
        <w:widowControl w:val="0"/>
        <w:numPr>
          <w:ilvl w:val="0"/>
          <w:numId w:val="13"/>
        </w:numPr>
        <w:autoSpaceDE w:val="0"/>
        <w:autoSpaceDN w:val="0"/>
        <w:adjustRightInd w:val="0"/>
        <w:spacing w:after="0" w:line="240" w:lineRule="auto"/>
        <w:ind w:left="360"/>
        <w:jc w:val="both"/>
        <w:rPr>
          <w:rFonts w:ascii="Arial" w:hAnsi="Arial" w:cs="Arial"/>
        </w:rPr>
      </w:pPr>
      <w:r w:rsidRPr="0075194F">
        <w:rPr>
          <w:rFonts w:ascii="Arial" w:hAnsi="Arial" w:cs="Arial"/>
        </w:rPr>
        <w:t xml:space="preserve"> Cultura de trabajo.</w:t>
      </w:r>
    </w:p>
    <w:p w:rsidR="00374C1A" w:rsidRPr="0075194F" w:rsidRDefault="00374C1A" w:rsidP="00374C1A">
      <w:pPr>
        <w:pStyle w:val="Prrafodelista"/>
        <w:widowControl w:val="0"/>
        <w:numPr>
          <w:ilvl w:val="0"/>
          <w:numId w:val="13"/>
        </w:numPr>
        <w:autoSpaceDE w:val="0"/>
        <w:autoSpaceDN w:val="0"/>
        <w:adjustRightInd w:val="0"/>
        <w:spacing w:after="0" w:line="240" w:lineRule="auto"/>
        <w:ind w:left="360"/>
        <w:jc w:val="both"/>
        <w:rPr>
          <w:rFonts w:ascii="Arial" w:hAnsi="Arial" w:cs="Arial"/>
        </w:rPr>
      </w:pPr>
      <w:r w:rsidRPr="0075194F">
        <w:rPr>
          <w:rFonts w:ascii="Arial" w:hAnsi="Arial" w:cs="Arial"/>
        </w:rPr>
        <w:t>Coaching y liderazgo colectivo</w:t>
      </w:r>
    </w:p>
    <w:p w:rsidR="00374C1A" w:rsidRPr="0075194F" w:rsidRDefault="00374C1A" w:rsidP="00374C1A">
      <w:pPr>
        <w:pStyle w:val="Prrafodelista"/>
        <w:ind w:left="0"/>
        <w:jc w:val="both"/>
        <w:rPr>
          <w:rFonts w:ascii="Arial" w:hAnsi="Arial" w:cs="Arial"/>
        </w:rPr>
      </w:pPr>
    </w:p>
    <w:p w:rsidR="00374C1A" w:rsidRPr="0075194F" w:rsidRDefault="00374C1A" w:rsidP="00374C1A">
      <w:pPr>
        <w:pStyle w:val="Prrafodelista"/>
        <w:ind w:left="0"/>
        <w:jc w:val="both"/>
        <w:rPr>
          <w:rFonts w:ascii="Arial" w:hAnsi="Arial" w:cs="Arial"/>
          <w:lang w:val="es-MX"/>
        </w:rPr>
      </w:pPr>
      <w:r w:rsidRPr="0075194F">
        <w:rPr>
          <w:rFonts w:ascii="Arial" w:hAnsi="Arial" w:cs="Arial"/>
        </w:rPr>
        <w:t>En el fortalecimiento del gobierno corporativo se destaca que en e</w:t>
      </w:r>
      <w:r w:rsidRPr="0075194F">
        <w:rPr>
          <w:rFonts w:ascii="Arial" w:hAnsi="Arial" w:cs="Arial"/>
          <w:lang w:val="es-MX"/>
        </w:rPr>
        <w:t xml:space="preserve">n el mes de julio de 2016, la Superintendencia de Industria y Comercio mediante resolución 43948 de julio 5 de 2016 aprobó los nuevos estatutos para la entidad, incorporando en este, nuevos elementos estratégicos como política de riesgos y sistema de control interno. </w:t>
      </w:r>
    </w:p>
    <w:p w:rsidR="00374C1A" w:rsidRPr="0075194F" w:rsidRDefault="00374C1A" w:rsidP="00374C1A">
      <w:pPr>
        <w:pStyle w:val="Prrafodelista"/>
        <w:widowControl w:val="0"/>
        <w:autoSpaceDE w:val="0"/>
        <w:autoSpaceDN w:val="0"/>
        <w:adjustRightInd w:val="0"/>
        <w:ind w:left="360"/>
        <w:jc w:val="both"/>
        <w:rPr>
          <w:rFonts w:ascii="Arial" w:hAnsi="Arial" w:cs="Arial"/>
        </w:rPr>
      </w:pPr>
    </w:p>
    <w:p w:rsidR="00374C1A" w:rsidRPr="0075194F" w:rsidRDefault="00374C1A" w:rsidP="00374C1A">
      <w:pPr>
        <w:pStyle w:val="Prrafodelista"/>
        <w:numPr>
          <w:ilvl w:val="0"/>
          <w:numId w:val="15"/>
        </w:numPr>
        <w:autoSpaceDE w:val="0"/>
        <w:autoSpaceDN w:val="0"/>
        <w:contextualSpacing w:val="0"/>
        <w:jc w:val="both"/>
        <w:rPr>
          <w:rFonts w:ascii="Arial" w:hAnsi="Arial" w:cs="Arial"/>
          <w:bCs/>
        </w:rPr>
      </w:pPr>
      <w:r w:rsidRPr="0075194F">
        <w:rPr>
          <w:rFonts w:ascii="Arial" w:hAnsi="Arial" w:cs="Arial"/>
          <w:b/>
          <w:lang w:val="es-MX"/>
        </w:rPr>
        <w:t>Componente de gestión de riesgos:</w:t>
      </w:r>
      <w:r w:rsidRPr="0075194F">
        <w:rPr>
          <w:rFonts w:ascii="Arial" w:hAnsi="Arial" w:cs="Arial"/>
          <w:b/>
          <w:color w:val="4F81BD"/>
          <w:lang w:val="es-MX"/>
        </w:rPr>
        <w:t xml:space="preserve"> </w:t>
      </w:r>
      <w:r w:rsidRPr="0075194F">
        <w:rPr>
          <w:rFonts w:ascii="Arial" w:hAnsi="Arial" w:cs="Arial"/>
          <w:lang w:val="es-MX"/>
        </w:rPr>
        <w:t>el propósito del sistema de gestión de riesgos empresarial (SGR) es</w:t>
      </w:r>
      <w:r w:rsidRPr="0075194F">
        <w:rPr>
          <w:rFonts w:ascii="Arial" w:hAnsi="Arial" w:cs="Arial"/>
          <w:bCs/>
        </w:rPr>
        <w:t xml:space="preserve"> identificar, analizar, valorar, tratar y monitorear los riesgos relevantes de la entidad asociados a los procesos de </w:t>
      </w:r>
      <w:r w:rsidRPr="0075194F">
        <w:rPr>
          <w:rFonts w:ascii="Arial" w:hAnsi="Arial" w:cs="Arial"/>
          <w:lang w:val="es-MX"/>
        </w:rPr>
        <w:t>gestión estratégica, registros públicos, conciliación &amp; arbitraje, servicios empresariales, gestión tecnológica, gestión financiera, gestión humana, gestión de contratación y continuidad de negocio</w:t>
      </w:r>
      <w:r w:rsidRPr="0075194F">
        <w:rPr>
          <w:rFonts w:ascii="Arial" w:hAnsi="Arial" w:cs="Arial"/>
          <w:bCs/>
        </w:rPr>
        <w:t xml:space="preserve">, que pudieran impedir el cumplimiento de los objetivos estratégicos y de proceso. </w:t>
      </w:r>
    </w:p>
    <w:p w:rsidR="00374C1A" w:rsidRPr="0075194F" w:rsidRDefault="00374C1A" w:rsidP="00374C1A">
      <w:pPr>
        <w:pStyle w:val="Prrafodelista"/>
        <w:ind w:left="0" w:firstLine="348"/>
        <w:jc w:val="both"/>
        <w:rPr>
          <w:rFonts w:ascii="Arial" w:hAnsi="Arial" w:cs="Arial"/>
          <w:bCs/>
        </w:rPr>
      </w:pPr>
      <w:r w:rsidRPr="0075194F">
        <w:rPr>
          <w:rFonts w:ascii="Arial" w:hAnsi="Arial" w:cs="Arial"/>
          <w:bCs/>
        </w:rPr>
        <w:t xml:space="preserve">Las actividades más relevantes fueron: </w:t>
      </w:r>
    </w:p>
    <w:p w:rsidR="00374C1A" w:rsidRPr="0075194F" w:rsidRDefault="00374C1A" w:rsidP="00374C1A">
      <w:pPr>
        <w:pStyle w:val="Prrafodelista"/>
        <w:ind w:left="0" w:firstLine="348"/>
        <w:jc w:val="both"/>
        <w:rPr>
          <w:rFonts w:ascii="Arial" w:hAnsi="Arial" w:cs="Arial"/>
        </w:rPr>
      </w:pPr>
    </w:p>
    <w:p w:rsidR="00374C1A" w:rsidRPr="0075194F" w:rsidRDefault="00374C1A" w:rsidP="00374C1A">
      <w:pPr>
        <w:pStyle w:val="Prrafodelista"/>
        <w:numPr>
          <w:ilvl w:val="0"/>
          <w:numId w:val="16"/>
        </w:numPr>
        <w:autoSpaceDE w:val="0"/>
        <w:autoSpaceDN w:val="0"/>
        <w:contextualSpacing w:val="0"/>
        <w:jc w:val="both"/>
        <w:rPr>
          <w:rFonts w:ascii="Arial" w:hAnsi="Arial" w:cs="Arial"/>
        </w:rPr>
      </w:pPr>
      <w:r w:rsidRPr="0075194F">
        <w:rPr>
          <w:rFonts w:ascii="Arial" w:hAnsi="Arial" w:cs="Arial"/>
          <w:b/>
          <w:lang w:val="es-MX"/>
        </w:rPr>
        <w:t>138</w:t>
      </w:r>
      <w:r w:rsidRPr="0075194F">
        <w:rPr>
          <w:rFonts w:ascii="Arial" w:hAnsi="Arial" w:cs="Arial"/>
        </w:rPr>
        <w:t xml:space="preserve"> riesgos gestionados en las 3 categorías riesgos: estratégicos, de proceso y de continuidad de negocio  </w:t>
      </w:r>
    </w:p>
    <w:p w:rsidR="00374C1A" w:rsidRPr="0075194F" w:rsidRDefault="00374C1A" w:rsidP="00374C1A">
      <w:pPr>
        <w:pStyle w:val="Prrafodelista"/>
        <w:numPr>
          <w:ilvl w:val="0"/>
          <w:numId w:val="16"/>
        </w:numPr>
        <w:autoSpaceDE w:val="0"/>
        <w:autoSpaceDN w:val="0"/>
        <w:contextualSpacing w:val="0"/>
        <w:jc w:val="both"/>
        <w:rPr>
          <w:rFonts w:ascii="Arial" w:hAnsi="Arial" w:cs="Arial"/>
        </w:rPr>
      </w:pPr>
      <w:r w:rsidRPr="0075194F">
        <w:rPr>
          <w:rFonts w:ascii="Arial" w:hAnsi="Arial" w:cs="Arial"/>
          <w:b/>
          <w:lang w:val="es-MX"/>
        </w:rPr>
        <w:lastRenderedPageBreak/>
        <w:t>86%</w:t>
      </w:r>
      <w:r w:rsidRPr="0075194F">
        <w:rPr>
          <w:rFonts w:ascii="Arial" w:hAnsi="Arial" w:cs="Arial"/>
        </w:rPr>
        <w:t xml:space="preserve"> de riesgos inadmisibles e importantes priorizados, fueron gestionados a un nivel inferior de criticidad (12/14 riesgos)   </w:t>
      </w:r>
    </w:p>
    <w:p w:rsidR="00374C1A" w:rsidRPr="0075194F" w:rsidRDefault="00374C1A" w:rsidP="00374C1A">
      <w:pPr>
        <w:pStyle w:val="Prrafodelista"/>
        <w:numPr>
          <w:ilvl w:val="0"/>
          <w:numId w:val="16"/>
        </w:numPr>
        <w:autoSpaceDE w:val="0"/>
        <w:autoSpaceDN w:val="0"/>
        <w:contextualSpacing w:val="0"/>
        <w:jc w:val="both"/>
        <w:rPr>
          <w:rFonts w:ascii="Arial" w:hAnsi="Arial" w:cs="Arial"/>
        </w:rPr>
      </w:pPr>
      <w:r w:rsidRPr="0075194F">
        <w:rPr>
          <w:rFonts w:ascii="Arial" w:hAnsi="Arial" w:cs="Arial"/>
          <w:b/>
          <w:lang w:val="es-MX"/>
        </w:rPr>
        <w:t>El 78%</w:t>
      </w:r>
      <w:r w:rsidRPr="0075194F">
        <w:rPr>
          <w:rFonts w:ascii="Arial" w:hAnsi="Arial" w:cs="Arial"/>
        </w:rPr>
        <w:t>, fue el nivel de mitigación del total de riesgos inadmisibles e importantes en las tres categorías de riesgos: estratégicos, de proceso y de continuidad de negocio</w:t>
      </w:r>
    </w:p>
    <w:p w:rsidR="00374C1A" w:rsidRPr="0075194F" w:rsidRDefault="00374C1A" w:rsidP="00374C1A">
      <w:pPr>
        <w:pStyle w:val="Prrafodelista"/>
        <w:numPr>
          <w:ilvl w:val="0"/>
          <w:numId w:val="16"/>
        </w:numPr>
        <w:autoSpaceDE w:val="0"/>
        <w:autoSpaceDN w:val="0"/>
        <w:contextualSpacing w:val="0"/>
        <w:jc w:val="both"/>
        <w:rPr>
          <w:rFonts w:ascii="Arial" w:hAnsi="Arial" w:cs="Arial"/>
        </w:rPr>
      </w:pPr>
      <w:r w:rsidRPr="0075194F">
        <w:rPr>
          <w:rFonts w:ascii="Arial" w:hAnsi="Arial" w:cs="Arial"/>
        </w:rPr>
        <w:t>Elaborado</w:t>
      </w:r>
      <w:r w:rsidRPr="0075194F">
        <w:rPr>
          <w:rFonts w:ascii="Arial" w:hAnsi="Arial" w:cs="Arial"/>
          <w:lang w:val="es-MX"/>
        </w:rPr>
        <w:t xml:space="preserve"> el mapa de riesgos de seguridad de la información a los procesos de Registros públicos y gestión tecnológica </w:t>
      </w:r>
    </w:p>
    <w:p w:rsidR="00374C1A" w:rsidRPr="0075194F" w:rsidRDefault="00374C1A" w:rsidP="00374C1A">
      <w:pPr>
        <w:pStyle w:val="Prrafodelista"/>
        <w:numPr>
          <w:ilvl w:val="0"/>
          <w:numId w:val="15"/>
        </w:numPr>
        <w:autoSpaceDE w:val="0"/>
        <w:autoSpaceDN w:val="0"/>
        <w:contextualSpacing w:val="0"/>
        <w:jc w:val="both"/>
        <w:rPr>
          <w:rFonts w:ascii="Arial" w:hAnsi="Arial" w:cs="Arial"/>
          <w:bCs/>
          <w:lang w:val="es-MX"/>
        </w:rPr>
      </w:pPr>
      <w:r w:rsidRPr="0075194F">
        <w:rPr>
          <w:rFonts w:ascii="Arial" w:hAnsi="Arial" w:cs="Arial"/>
          <w:b/>
          <w:lang w:val="es-MX"/>
        </w:rPr>
        <w:t xml:space="preserve">Componente de actividades de control: </w:t>
      </w:r>
      <w:r w:rsidRPr="0075194F">
        <w:rPr>
          <w:rFonts w:ascii="Arial" w:hAnsi="Arial" w:cs="Arial"/>
          <w:lang w:val="es-MX"/>
        </w:rPr>
        <w:t>corresponden</w:t>
      </w:r>
      <w:r w:rsidRPr="0075194F">
        <w:rPr>
          <w:rFonts w:ascii="Arial" w:hAnsi="Arial" w:cs="Arial"/>
          <w:bCs/>
        </w:rPr>
        <w:t xml:space="preserve"> a los lineamientos, y actividades   que tienden a asegurar primordialmente la prevención de la materialización de riesgos, la protección y control de los recursos financieros, de información, humanos, tecnológicos, físicos y el </w:t>
      </w:r>
      <w:r w:rsidRPr="0075194F">
        <w:rPr>
          <w:rFonts w:ascii="Arial" w:hAnsi="Arial" w:cs="Arial"/>
          <w:bCs/>
          <w:lang w:val="es-MX"/>
        </w:rPr>
        <w:t>cumplimiento eficiente de las actividades.</w:t>
      </w:r>
    </w:p>
    <w:p w:rsidR="00374C1A" w:rsidRPr="0075194F" w:rsidRDefault="00374C1A" w:rsidP="00374C1A">
      <w:pPr>
        <w:pStyle w:val="Prrafodelista"/>
        <w:ind w:left="0"/>
        <w:jc w:val="both"/>
        <w:rPr>
          <w:rFonts w:ascii="Arial" w:hAnsi="Arial" w:cs="Arial"/>
          <w:bCs/>
        </w:rPr>
      </w:pPr>
      <w:r w:rsidRPr="0075194F">
        <w:rPr>
          <w:rFonts w:ascii="Arial" w:hAnsi="Arial" w:cs="Arial"/>
          <w:bCs/>
        </w:rPr>
        <w:t xml:space="preserve">Las actividades más relevantes fueron: </w:t>
      </w:r>
    </w:p>
    <w:p w:rsidR="00374C1A" w:rsidRPr="0075194F" w:rsidRDefault="00374C1A" w:rsidP="00374C1A">
      <w:pPr>
        <w:pStyle w:val="Prrafodelista"/>
        <w:ind w:left="0"/>
        <w:jc w:val="both"/>
        <w:rPr>
          <w:rFonts w:ascii="Arial" w:hAnsi="Arial" w:cs="Arial"/>
        </w:rPr>
      </w:pPr>
    </w:p>
    <w:p w:rsidR="00374C1A" w:rsidRPr="0075194F" w:rsidRDefault="00374C1A" w:rsidP="00374C1A">
      <w:pPr>
        <w:pStyle w:val="Prrafodelista"/>
        <w:numPr>
          <w:ilvl w:val="0"/>
          <w:numId w:val="12"/>
        </w:numPr>
        <w:autoSpaceDE w:val="0"/>
        <w:autoSpaceDN w:val="0"/>
        <w:ind w:left="708"/>
        <w:contextualSpacing w:val="0"/>
        <w:jc w:val="both"/>
        <w:rPr>
          <w:rFonts w:ascii="Arial" w:hAnsi="Arial" w:cs="Arial"/>
          <w:b/>
          <w:lang w:val="es-MX"/>
        </w:rPr>
      </w:pPr>
      <w:r w:rsidRPr="0075194F">
        <w:rPr>
          <w:rFonts w:ascii="Arial" w:hAnsi="Arial" w:cs="Arial"/>
          <w:b/>
          <w:lang w:val="es-MX"/>
        </w:rPr>
        <w:t xml:space="preserve">En controles gerenciales: </w:t>
      </w:r>
    </w:p>
    <w:p w:rsidR="00374C1A" w:rsidRPr="0075194F" w:rsidRDefault="00374C1A" w:rsidP="00374C1A">
      <w:pPr>
        <w:pStyle w:val="Prrafodelista"/>
        <w:numPr>
          <w:ilvl w:val="0"/>
          <w:numId w:val="3"/>
        </w:numPr>
        <w:autoSpaceDE w:val="0"/>
        <w:autoSpaceDN w:val="0"/>
        <w:ind w:left="360"/>
        <w:contextualSpacing w:val="0"/>
        <w:jc w:val="both"/>
        <w:rPr>
          <w:rFonts w:ascii="Arial" w:hAnsi="Arial" w:cs="Arial"/>
          <w:lang w:val="es-MX"/>
        </w:rPr>
      </w:pPr>
      <w:r w:rsidRPr="0075194F">
        <w:rPr>
          <w:rFonts w:ascii="Arial" w:hAnsi="Arial" w:cs="Arial"/>
          <w:lang w:val="es-MX"/>
        </w:rPr>
        <w:t>La entidad cuenta con los siguientes comités que contribuyeron al cumplimiento de la estrategia, desempeño financiero, el seguimiento al proceso de contratación y el mejoramiento continuo de los procesos: Comité de dirección, Comité financiero, Comité de contratación y Comité de Seguridad de la Información, los cuales operan de forma periódica.</w:t>
      </w:r>
    </w:p>
    <w:p w:rsidR="00374C1A" w:rsidRPr="0075194F" w:rsidRDefault="00374C1A" w:rsidP="00374C1A">
      <w:pPr>
        <w:pStyle w:val="Prrafodelista"/>
        <w:numPr>
          <w:ilvl w:val="0"/>
          <w:numId w:val="12"/>
        </w:numPr>
        <w:autoSpaceDE w:val="0"/>
        <w:autoSpaceDN w:val="0"/>
        <w:ind w:left="708"/>
        <w:contextualSpacing w:val="0"/>
        <w:jc w:val="both"/>
        <w:rPr>
          <w:rFonts w:ascii="Arial" w:hAnsi="Arial" w:cs="Arial"/>
          <w:b/>
          <w:lang w:val="es-MX"/>
        </w:rPr>
      </w:pPr>
      <w:r w:rsidRPr="0075194F">
        <w:rPr>
          <w:rFonts w:ascii="Arial" w:hAnsi="Arial" w:cs="Arial"/>
          <w:b/>
          <w:lang w:val="es-MX"/>
        </w:rPr>
        <w:t xml:space="preserve">En controles de tecnología y seguridad de la información: </w:t>
      </w:r>
    </w:p>
    <w:p w:rsidR="00374C1A" w:rsidRPr="0075194F" w:rsidRDefault="00374C1A" w:rsidP="00374C1A">
      <w:pPr>
        <w:pStyle w:val="Prrafodelista"/>
        <w:numPr>
          <w:ilvl w:val="0"/>
          <w:numId w:val="7"/>
        </w:numPr>
        <w:autoSpaceDE w:val="0"/>
        <w:autoSpaceDN w:val="0"/>
        <w:ind w:left="360"/>
        <w:jc w:val="both"/>
        <w:rPr>
          <w:rFonts w:ascii="Arial" w:hAnsi="Arial" w:cs="Arial"/>
        </w:rPr>
      </w:pPr>
      <w:r w:rsidRPr="0075194F">
        <w:rPr>
          <w:rFonts w:ascii="Arial" w:hAnsi="Arial" w:cs="Arial"/>
          <w:b/>
          <w:lang w:val="es-MX"/>
        </w:rPr>
        <w:t xml:space="preserve">La estrategia </w:t>
      </w:r>
      <w:r w:rsidRPr="0075194F">
        <w:rPr>
          <w:rFonts w:ascii="Arial" w:hAnsi="Arial" w:cs="Arial"/>
          <w:b/>
        </w:rPr>
        <w:t>de Continuidad de Negocio</w:t>
      </w:r>
      <w:r w:rsidRPr="0075194F">
        <w:rPr>
          <w:rFonts w:ascii="Arial" w:hAnsi="Arial" w:cs="Arial"/>
        </w:rPr>
        <w:t xml:space="preserve"> para el proceso de Registros Públicos se implementó, probó y actualizó a diciembre de 2016,</w:t>
      </w:r>
      <w:r w:rsidRPr="0075194F">
        <w:rPr>
          <w:rFonts w:ascii="Arial" w:hAnsi="Arial" w:cs="Arial"/>
          <w:lang w:val="es-MX"/>
        </w:rPr>
        <w:t xml:space="preserve"> con la ejecución de las siguientes actividades:</w:t>
      </w:r>
    </w:p>
    <w:p w:rsidR="00374C1A" w:rsidRPr="0075194F" w:rsidRDefault="00374C1A" w:rsidP="00374C1A">
      <w:pPr>
        <w:pStyle w:val="Prrafodelista"/>
        <w:numPr>
          <w:ilvl w:val="0"/>
          <w:numId w:val="9"/>
        </w:numPr>
        <w:autoSpaceDE w:val="0"/>
        <w:autoSpaceDN w:val="0"/>
        <w:ind w:left="708"/>
        <w:jc w:val="both"/>
        <w:rPr>
          <w:rFonts w:ascii="Arial" w:hAnsi="Arial" w:cs="Arial"/>
          <w:lang w:val="es-MX"/>
        </w:rPr>
      </w:pPr>
      <w:r w:rsidRPr="0075194F">
        <w:rPr>
          <w:rFonts w:ascii="Arial" w:hAnsi="Arial" w:cs="Arial"/>
          <w:b/>
          <w:lang w:val="es-MX"/>
        </w:rPr>
        <w:t>1</w:t>
      </w:r>
      <w:r w:rsidRPr="0075194F">
        <w:rPr>
          <w:rFonts w:ascii="Arial" w:hAnsi="Arial" w:cs="Arial"/>
          <w:lang w:val="es-MX"/>
        </w:rPr>
        <w:t xml:space="preserve"> taller entrenamiento realizado a los equipos de gobierno de continuidad de negocio </w:t>
      </w:r>
    </w:p>
    <w:p w:rsidR="00374C1A" w:rsidRPr="0075194F" w:rsidRDefault="00374C1A" w:rsidP="00374C1A">
      <w:pPr>
        <w:pStyle w:val="Prrafodelista"/>
        <w:numPr>
          <w:ilvl w:val="0"/>
          <w:numId w:val="9"/>
        </w:numPr>
        <w:autoSpaceDE w:val="0"/>
        <w:autoSpaceDN w:val="0"/>
        <w:ind w:left="708"/>
        <w:jc w:val="both"/>
        <w:rPr>
          <w:rFonts w:ascii="Arial" w:hAnsi="Arial" w:cs="Arial"/>
          <w:lang w:val="es-MX"/>
        </w:rPr>
      </w:pPr>
      <w:r w:rsidRPr="0075194F">
        <w:rPr>
          <w:rFonts w:ascii="Arial" w:hAnsi="Arial" w:cs="Arial"/>
          <w:b/>
          <w:lang w:val="es-MX"/>
        </w:rPr>
        <w:t xml:space="preserve">5 </w:t>
      </w:r>
      <w:r w:rsidRPr="0075194F">
        <w:rPr>
          <w:rFonts w:ascii="Arial" w:hAnsi="Arial" w:cs="Arial"/>
          <w:lang w:val="es-MX"/>
        </w:rPr>
        <w:t>pruebas técnicas funcionales realizadas</w:t>
      </w:r>
    </w:p>
    <w:p w:rsidR="00374C1A" w:rsidRPr="0075194F" w:rsidRDefault="00374C1A" w:rsidP="00374C1A">
      <w:pPr>
        <w:pStyle w:val="Prrafodelista"/>
        <w:numPr>
          <w:ilvl w:val="0"/>
          <w:numId w:val="9"/>
        </w:numPr>
        <w:autoSpaceDE w:val="0"/>
        <w:autoSpaceDN w:val="0"/>
        <w:ind w:left="708"/>
        <w:jc w:val="both"/>
        <w:rPr>
          <w:rFonts w:ascii="Arial" w:hAnsi="Arial" w:cs="Arial"/>
          <w:lang w:val="es-MX"/>
        </w:rPr>
      </w:pPr>
      <w:r w:rsidRPr="0075194F">
        <w:rPr>
          <w:rFonts w:ascii="Arial" w:hAnsi="Arial" w:cs="Arial"/>
          <w:b/>
          <w:lang w:val="es-MX"/>
        </w:rPr>
        <w:t>1</w:t>
      </w:r>
      <w:r w:rsidRPr="0075194F">
        <w:rPr>
          <w:rFonts w:ascii="Arial" w:hAnsi="Arial" w:cs="Arial"/>
          <w:lang w:val="es-MX"/>
        </w:rPr>
        <w:t xml:space="preserve"> documento Plan de continuidad de negocio- BCP definido</w:t>
      </w:r>
    </w:p>
    <w:p w:rsidR="00374C1A" w:rsidRPr="0075194F" w:rsidRDefault="00374C1A" w:rsidP="00374C1A">
      <w:pPr>
        <w:pStyle w:val="Prrafodelista"/>
        <w:numPr>
          <w:ilvl w:val="0"/>
          <w:numId w:val="9"/>
        </w:numPr>
        <w:autoSpaceDE w:val="0"/>
        <w:autoSpaceDN w:val="0"/>
        <w:ind w:left="708"/>
        <w:jc w:val="both"/>
        <w:rPr>
          <w:rFonts w:ascii="Arial" w:hAnsi="Arial" w:cs="Arial"/>
          <w:lang w:val="es-MX"/>
        </w:rPr>
      </w:pPr>
      <w:r w:rsidRPr="0075194F">
        <w:rPr>
          <w:rFonts w:ascii="Arial" w:hAnsi="Arial" w:cs="Arial"/>
          <w:b/>
          <w:lang w:val="es-MX"/>
        </w:rPr>
        <w:t>1</w:t>
      </w:r>
      <w:r w:rsidRPr="0075194F">
        <w:rPr>
          <w:rFonts w:ascii="Arial" w:hAnsi="Arial" w:cs="Arial"/>
          <w:lang w:val="es-MX"/>
        </w:rPr>
        <w:t xml:space="preserve"> documento Plan de recuperación de desastres - DRP actualizado</w:t>
      </w:r>
    </w:p>
    <w:p w:rsidR="00374C1A" w:rsidRPr="0075194F" w:rsidRDefault="00374C1A" w:rsidP="00374C1A">
      <w:pPr>
        <w:pStyle w:val="Prrafodelista"/>
        <w:autoSpaceDE w:val="0"/>
        <w:autoSpaceDN w:val="0"/>
        <w:ind w:left="708"/>
        <w:contextualSpacing w:val="0"/>
        <w:jc w:val="both"/>
        <w:rPr>
          <w:rFonts w:ascii="Arial" w:hAnsi="Arial" w:cs="Arial"/>
        </w:rPr>
      </w:pP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rPr>
      </w:pPr>
      <w:r w:rsidRPr="0075194F">
        <w:rPr>
          <w:rFonts w:ascii="Arial" w:hAnsi="Arial" w:cs="Arial"/>
        </w:rPr>
        <w:t xml:space="preserve">Se implementó </w:t>
      </w:r>
      <w:r w:rsidRPr="0075194F">
        <w:rPr>
          <w:rFonts w:ascii="Arial" w:hAnsi="Arial" w:cs="Arial"/>
          <w:b/>
          <w:lang w:val="es-MX"/>
        </w:rPr>
        <w:t>el sistema de Gestión de seguridad de la información</w:t>
      </w:r>
      <w:r w:rsidRPr="0075194F">
        <w:rPr>
          <w:rFonts w:ascii="Arial" w:hAnsi="Arial" w:cs="Arial"/>
        </w:rPr>
        <w:t xml:space="preserve">, bajo el estándar ISO 27000 y 27001, cuyo alcance es el proceso de Registros Públicos y el proceso de Tecnología de información que lo soporta, las siguientes son las actividades más relevantes: </w:t>
      </w:r>
    </w:p>
    <w:p w:rsidR="00374C1A" w:rsidRPr="0075194F" w:rsidRDefault="00374C1A" w:rsidP="00374C1A">
      <w:pPr>
        <w:pStyle w:val="Prrafodelista"/>
        <w:numPr>
          <w:ilvl w:val="0"/>
          <w:numId w:val="10"/>
        </w:numPr>
        <w:tabs>
          <w:tab w:val="clear" w:pos="1776"/>
          <w:tab w:val="num" w:pos="708"/>
        </w:tabs>
        <w:autoSpaceDE w:val="0"/>
        <w:autoSpaceDN w:val="0"/>
        <w:ind w:left="708"/>
        <w:jc w:val="both"/>
        <w:rPr>
          <w:rFonts w:ascii="Arial" w:hAnsi="Arial" w:cs="Arial"/>
        </w:rPr>
      </w:pPr>
      <w:r w:rsidRPr="0075194F">
        <w:rPr>
          <w:rFonts w:ascii="Arial" w:hAnsi="Arial" w:cs="Arial"/>
          <w:b/>
          <w:lang w:val="es-MX"/>
        </w:rPr>
        <w:t>253</w:t>
      </w:r>
      <w:r w:rsidRPr="0075194F">
        <w:rPr>
          <w:rFonts w:ascii="Arial" w:hAnsi="Arial" w:cs="Arial"/>
        </w:rPr>
        <w:t xml:space="preserve"> colaboradores sensibilizados y capacitados en el SGSI  </w:t>
      </w:r>
    </w:p>
    <w:p w:rsidR="00374C1A" w:rsidRPr="0075194F" w:rsidRDefault="00374C1A" w:rsidP="00374C1A">
      <w:pPr>
        <w:pStyle w:val="Prrafodelista"/>
        <w:numPr>
          <w:ilvl w:val="0"/>
          <w:numId w:val="10"/>
        </w:numPr>
        <w:tabs>
          <w:tab w:val="clear" w:pos="1776"/>
          <w:tab w:val="num" w:pos="708"/>
        </w:tabs>
        <w:autoSpaceDE w:val="0"/>
        <w:autoSpaceDN w:val="0"/>
        <w:ind w:left="708"/>
        <w:jc w:val="both"/>
        <w:rPr>
          <w:rFonts w:ascii="Arial" w:hAnsi="Arial" w:cs="Arial"/>
        </w:rPr>
      </w:pPr>
      <w:r w:rsidRPr="0075194F">
        <w:rPr>
          <w:rFonts w:ascii="Arial" w:hAnsi="Arial" w:cs="Arial"/>
          <w:b/>
          <w:lang w:val="es-MX"/>
        </w:rPr>
        <w:t>1</w:t>
      </w:r>
      <w:r w:rsidRPr="0075194F">
        <w:rPr>
          <w:rFonts w:ascii="Arial" w:hAnsi="Arial" w:cs="Arial"/>
        </w:rPr>
        <w:t xml:space="preserve"> manual de seguridad actualizado y </w:t>
      </w:r>
      <w:r w:rsidRPr="0075194F">
        <w:rPr>
          <w:rFonts w:ascii="Arial" w:hAnsi="Arial" w:cs="Arial"/>
          <w:b/>
          <w:lang w:val="es-MX"/>
        </w:rPr>
        <w:t xml:space="preserve">9 </w:t>
      </w:r>
      <w:r w:rsidRPr="0075194F">
        <w:rPr>
          <w:rFonts w:ascii="Arial" w:hAnsi="Arial" w:cs="Arial"/>
        </w:rPr>
        <w:t xml:space="preserve">nuevos procedimientos </w:t>
      </w:r>
    </w:p>
    <w:p w:rsidR="00374C1A" w:rsidRPr="0075194F" w:rsidRDefault="00374C1A" w:rsidP="00374C1A">
      <w:pPr>
        <w:pStyle w:val="Prrafodelista"/>
        <w:numPr>
          <w:ilvl w:val="0"/>
          <w:numId w:val="10"/>
        </w:numPr>
        <w:tabs>
          <w:tab w:val="clear" w:pos="1776"/>
          <w:tab w:val="num" w:pos="708"/>
        </w:tabs>
        <w:autoSpaceDE w:val="0"/>
        <w:autoSpaceDN w:val="0"/>
        <w:ind w:left="708"/>
        <w:jc w:val="both"/>
        <w:rPr>
          <w:rFonts w:ascii="Arial" w:hAnsi="Arial" w:cs="Arial"/>
        </w:rPr>
      </w:pPr>
      <w:r w:rsidRPr="0075194F">
        <w:rPr>
          <w:rFonts w:ascii="Arial" w:hAnsi="Arial" w:cs="Arial"/>
          <w:b/>
          <w:lang w:val="es-MX"/>
        </w:rPr>
        <w:lastRenderedPageBreak/>
        <w:t>10</w:t>
      </w:r>
      <w:r w:rsidRPr="0075194F">
        <w:rPr>
          <w:rFonts w:ascii="Arial" w:hAnsi="Arial" w:cs="Arial"/>
        </w:rPr>
        <w:t xml:space="preserve"> riesgos de seguridad de la información de Registros Públicos valorados como importantes sobre </w:t>
      </w:r>
      <w:r w:rsidRPr="0075194F">
        <w:rPr>
          <w:rFonts w:ascii="Arial" w:hAnsi="Arial" w:cs="Arial"/>
          <w:b/>
          <w:lang w:val="es-MX"/>
        </w:rPr>
        <w:t xml:space="preserve">67 </w:t>
      </w:r>
      <w:r w:rsidRPr="0075194F">
        <w:rPr>
          <w:rFonts w:ascii="Arial" w:hAnsi="Arial" w:cs="Arial"/>
        </w:rPr>
        <w:t xml:space="preserve">activos de información identificados, clasificados y valorados </w:t>
      </w:r>
    </w:p>
    <w:p w:rsidR="00374C1A" w:rsidRPr="0075194F" w:rsidRDefault="00374C1A" w:rsidP="00374C1A">
      <w:pPr>
        <w:pStyle w:val="Prrafodelista"/>
        <w:numPr>
          <w:ilvl w:val="0"/>
          <w:numId w:val="10"/>
        </w:numPr>
        <w:tabs>
          <w:tab w:val="clear" w:pos="1776"/>
          <w:tab w:val="num" w:pos="708"/>
        </w:tabs>
        <w:autoSpaceDE w:val="0"/>
        <w:autoSpaceDN w:val="0"/>
        <w:ind w:left="708"/>
        <w:jc w:val="both"/>
        <w:rPr>
          <w:rFonts w:ascii="Arial" w:hAnsi="Arial" w:cs="Arial"/>
        </w:rPr>
      </w:pPr>
      <w:r w:rsidRPr="0075194F">
        <w:rPr>
          <w:rFonts w:ascii="Arial" w:hAnsi="Arial" w:cs="Arial"/>
          <w:b/>
          <w:lang w:val="es-MX"/>
        </w:rPr>
        <w:t xml:space="preserve">14 </w:t>
      </w:r>
      <w:r w:rsidRPr="0075194F">
        <w:rPr>
          <w:rFonts w:ascii="Arial" w:hAnsi="Arial" w:cs="Arial"/>
        </w:rPr>
        <w:t xml:space="preserve">riesgos de seguridad de la información de TI valorados como importantes sobre </w:t>
      </w:r>
      <w:r w:rsidRPr="0075194F">
        <w:rPr>
          <w:rFonts w:ascii="Arial" w:hAnsi="Arial" w:cs="Arial"/>
          <w:b/>
          <w:lang w:val="es-MX"/>
        </w:rPr>
        <w:t xml:space="preserve">89 </w:t>
      </w:r>
      <w:r w:rsidRPr="0075194F">
        <w:rPr>
          <w:rFonts w:ascii="Arial" w:hAnsi="Arial" w:cs="Arial"/>
        </w:rPr>
        <w:t>activos de información   identificados, clasificados y valorados</w:t>
      </w:r>
    </w:p>
    <w:p w:rsidR="00374C1A" w:rsidRPr="0075194F" w:rsidRDefault="00374C1A" w:rsidP="00374C1A">
      <w:pPr>
        <w:pStyle w:val="Prrafodelista"/>
        <w:numPr>
          <w:ilvl w:val="0"/>
          <w:numId w:val="10"/>
        </w:numPr>
        <w:tabs>
          <w:tab w:val="clear" w:pos="1776"/>
          <w:tab w:val="num" w:pos="708"/>
        </w:tabs>
        <w:autoSpaceDE w:val="0"/>
        <w:autoSpaceDN w:val="0"/>
        <w:ind w:left="708"/>
        <w:jc w:val="both"/>
        <w:rPr>
          <w:rFonts w:ascii="Arial" w:hAnsi="Arial" w:cs="Arial"/>
        </w:rPr>
      </w:pPr>
      <w:r w:rsidRPr="0075194F">
        <w:rPr>
          <w:rFonts w:ascii="Arial" w:hAnsi="Arial" w:cs="Arial"/>
          <w:b/>
          <w:lang w:val="es-MX"/>
        </w:rPr>
        <w:t xml:space="preserve"> 1</w:t>
      </w:r>
      <w:r w:rsidRPr="0075194F">
        <w:rPr>
          <w:rFonts w:ascii="Arial" w:hAnsi="Arial" w:cs="Arial"/>
        </w:rPr>
        <w:t xml:space="preserve"> prueba de </w:t>
      </w:r>
      <w:proofErr w:type="spellStart"/>
      <w:r w:rsidRPr="0075194F">
        <w:rPr>
          <w:rFonts w:ascii="Arial" w:hAnsi="Arial" w:cs="Arial"/>
        </w:rPr>
        <w:t>ethical</w:t>
      </w:r>
      <w:proofErr w:type="spellEnd"/>
      <w:r w:rsidRPr="0075194F">
        <w:rPr>
          <w:rFonts w:ascii="Arial" w:hAnsi="Arial" w:cs="Arial"/>
        </w:rPr>
        <w:t xml:space="preserve"> hacking realizadas sobre </w:t>
      </w:r>
      <w:r w:rsidRPr="0075194F">
        <w:rPr>
          <w:rFonts w:ascii="Arial" w:hAnsi="Arial" w:cs="Arial"/>
          <w:b/>
          <w:lang w:val="es-MX"/>
        </w:rPr>
        <w:t>19</w:t>
      </w:r>
      <w:r w:rsidRPr="0075194F">
        <w:rPr>
          <w:rFonts w:ascii="Arial" w:hAnsi="Arial" w:cs="Arial"/>
        </w:rPr>
        <w:t xml:space="preserve"> servicios de registros públicos   </w:t>
      </w:r>
    </w:p>
    <w:p w:rsidR="00374C1A" w:rsidRPr="0075194F" w:rsidRDefault="00374C1A" w:rsidP="00374C1A">
      <w:pPr>
        <w:pStyle w:val="Prrafodelista"/>
        <w:numPr>
          <w:ilvl w:val="0"/>
          <w:numId w:val="10"/>
        </w:numPr>
        <w:tabs>
          <w:tab w:val="clear" w:pos="1776"/>
          <w:tab w:val="num" w:pos="708"/>
        </w:tabs>
        <w:autoSpaceDE w:val="0"/>
        <w:autoSpaceDN w:val="0"/>
        <w:ind w:left="708"/>
        <w:jc w:val="both"/>
        <w:rPr>
          <w:rFonts w:ascii="Arial" w:hAnsi="Arial" w:cs="Arial"/>
        </w:rPr>
      </w:pPr>
      <w:r w:rsidRPr="0075194F">
        <w:rPr>
          <w:rFonts w:ascii="Arial" w:hAnsi="Arial" w:cs="Arial"/>
          <w:b/>
          <w:lang w:val="es-MX"/>
        </w:rPr>
        <w:t>5</w:t>
      </w:r>
      <w:r w:rsidRPr="0075194F">
        <w:rPr>
          <w:rFonts w:ascii="Arial" w:hAnsi="Arial" w:cs="Arial"/>
        </w:rPr>
        <w:t xml:space="preserve"> indicadores definidos para medir el SGSI</w:t>
      </w:r>
    </w:p>
    <w:p w:rsidR="00374C1A" w:rsidRPr="0075194F" w:rsidRDefault="00374C1A" w:rsidP="00374C1A">
      <w:pPr>
        <w:pStyle w:val="Prrafodelista"/>
        <w:numPr>
          <w:ilvl w:val="0"/>
          <w:numId w:val="10"/>
        </w:numPr>
        <w:tabs>
          <w:tab w:val="clear" w:pos="1776"/>
          <w:tab w:val="num" w:pos="708"/>
        </w:tabs>
        <w:autoSpaceDE w:val="0"/>
        <w:autoSpaceDN w:val="0"/>
        <w:ind w:left="708"/>
        <w:jc w:val="both"/>
        <w:rPr>
          <w:rFonts w:ascii="Arial" w:hAnsi="Arial" w:cs="Arial"/>
        </w:rPr>
      </w:pPr>
      <w:r w:rsidRPr="0075194F">
        <w:rPr>
          <w:rFonts w:ascii="Arial" w:hAnsi="Arial" w:cs="Arial"/>
          <w:b/>
          <w:lang w:val="es-MX"/>
        </w:rPr>
        <w:t>1</w:t>
      </w:r>
      <w:r w:rsidRPr="0075194F">
        <w:rPr>
          <w:rFonts w:ascii="Arial" w:hAnsi="Arial" w:cs="Arial"/>
        </w:rPr>
        <w:t xml:space="preserve"> plan estratégico de seguridad de la información definido</w:t>
      </w:r>
    </w:p>
    <w:p w:rsidR="00374C1A" w:rsidRPr="0075194F" w:rsidRDefault="00374C1A" w:rsidP="00374C1A">
      <w:pPr>
        <w:pStyle w:val="Prrafodelista"/>
        <w:autoSpaceDE w:val="0"/>
        <w:autoSpaceDN w:val="0"/>
        <w:ind w:left="708"/>
        <w:jc w:val="both"/>
        <w:rPr>
          <w:rFonts w:ascii="Arial" w:hAnsi="Arial" w:cs="Arial"/>
        </w:rPr>
      </w:pP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rPr>
      </w:pPr>
      <w:r w:rsidRPr="0075194F">
        <w:rPr>
          <w:rFonts w:ascii="Arial" w:hAnsi="Arial" w:cs="Arial"/>
          <w:lang w:val="es-MX"/>
        </w:rPr>
        <w:t xml:space="preserve">Las siguientes actividades contribuyeron al </w:t>
      </w:r>
      <w:r w:rsidRPr="0075194F">
        <w:rPr>
          <w:rFonts w:ascii="Arial" w:hAnsi="Arial" w:cs="Arial"/>
          <w:lang w:val="es-ES_tradnl"/>
        </w:rPr>
        <w:t>fortalecimiento de la infraestructura técnica de la Cámara</w:t>
      </w:r>
      <w:r w:rsidRPr="0075194F">
        <w:rPr>
          <w:rFonts w:ascii="Arial" w:hAnsi="Arial" w:cs="Arial"/>
        </w:rPr>
        <w:t xml:space="preserve"> para el soporte de los servicios misionales con estabilidad, oportunidad y confiablidad</w:t>
      </w:r>
      <w:r w:rsidRPr="0075194F">
        <w:rPr>
          <w:rFonts w:ascii="Arial" w:hAnsi="Arial" w:cs="Arial"/>
          <w:lang w:val="es-ES_tradnl"/>
        </w:rPr>
        <w:t>:</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 xml:space="preserve">Fortalecimiento de la infraestructura de Red con la adquisición de nuevos </w:t>
      </w:r>
      <w:proofErr w:type="spellStart"/>
      <w:r w:rsidRPr="0075194F">
        <w:rPr>
          <w:rFonts w:ascii="Arial" w:hAnsi="Arial" w:cs="Arial"/>
          <w:lang w:val="es-MX"/>
        </w:rPr>
        <w:t>switches</w:t>
      </w:r>
      <w:proofErr w:type="spellEnd"/>
      <w:r w:rsidRPr="0075194F">
        <w:rPr>
          <w:rFonts w:ascii="Arial" w:hAnsi="Arial" w:cs="Arial"/>
          <w:lang w:val="es-MX"/>
        </w:rPr>
        <w:t xml:space="preserve"> y </w:t>
      </w:r>
      <w:proofErr w:type="spellStart"/>
      <w:r w:rsidRPr="0075194F">
        <w:rPr>
          <w:rFonts w:ascii="Arial" w:hAnsi="Arial" w:cs="Arial"/>
          <w:lang w:val="es-MX"/>
        </w:rPr>
        <w:t>routers</w:t>
      </w:r>
      <w:proofErr w:type="spellEnd"/>
      <w:r w:rsidRPr="0075194F">
        <w:rPr>
          <w:rFonts w:ascii="Arial" w:hAnsi="Arial" w:cs="Arial"/>
          <w:lang w:val="es-MX"/>
        </w:rPr>
        <w:t xml:space="preserve"> para la entidad.</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Parametrización de la Herramienta de monitoreo de red PRTG.</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 xml:space="preserve">Ampliación de la Red inalámbrica interna segmentada disponible para colaboradores internos (Obrero, </w:t>
      </w:r>
      <w:proofErr w:type="spellStart"/>
      <w:r w:rsidRPr="0075194F">
        <w:rPr>
          <w:rFonts w:ascii="Arial" w:hAnsi="Arial" w:cs="Arial"/>
          <w:lang w:val="es-MX"/>
        </w:rPr>
        <w:t>Aguablanca</w:t>
      </w:r>
      <w:proofErr w:type="spellEnd"/>
      <w:r w:rsidRPr="0075194F">
        <w:rPr>
          <w:rFonts w:ascii="Arial" w:hAnsi="Arial" w:cs="Arial"/>
          <w:lang w:val="es-MX"/>
        </w:rPr>
        <w:t>, Unicentro, CAE sede principal, Auditorio sede principal, Piso 18 sede principal).</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rPr>
      </w:pPr>
      <w:r w:rsidRPr="0075194F">
        <w:rPr>
          <w:rFonts w:ascii="Arial" w:hAnsi="Arial" w:cs="Arial"/>
          <w:lang w:val="es-MX"/>
        </w:rPr>
        <w:t xml:space="preserve">Ampliación de </w:t>
      </w:r>
      <w:r w:rsidRPr="0075194F">
        <w:rPr>
          <w:rFonts w:ascii="Arial" w:hAnsi="Arial" w:cs="Arial"/>
        </w:rPr>
        <w:t xml:space="preserve">Red inalámbrica interna segmentada disponible para invitados </w:t>
      </w:r>
      <w:r w:rsidRPr="0075194F">
        <w:rPr>
          <w:rFonts w:ascii="Arial" w:hAnsi="Arial" w:cs="Arial"/>
          <w:lang w:val="es-MX"/>
        </w:rPr>
        <w:t xml:space="preserve">(Obrero, </w:t>
      </w:r>
      <w:proofErr w:type="spellStart"/>
      <w:r w:rsidRPr="0075194F">
        <w:rPr>
          <w:rFonts w:ascii="Arial" w:hAnsi="Arial" w:cs="Arial"/>
          <w:lang w:val="es-MX"/>
        </w:rPr>
        <w:t>Aguablanca</w:t>
      </w:r>
      <w:proofErr w:type="spellEnd"/>
      <w:r w:rsidRPr="0075194F">
        <w:rPr>
          <w:rFonts w:ascii="Arial" w:hAnsi="Arial" w:cs="Arial"/>
          <w:lang w:val="es-MX"/>
        </w:rPr>
        <w:t>, Unicentro, CAE sede principal, Auditorio sede principal, Piso 18 sede principal).</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rPr>
      </w:pPr>
      <w:r w:rsidRPr="0075194F">
        <w:rPr>
          <w:rFonts w:ascii="Arial" w:hAnsi="Arial" w:cs="Arial"/>
        </w:rPr>
        <w:t>Filtro de contenido restrictivo por perfiles a las redes inalámbricas y LAN (Principal y sedes).</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rPr>
      </w:pPr>
      <w:r w:rsidRPr="0075194F">
        <w:rPr>
          <w:rFonts w:ascii="Arial" w:hAnsi="Arial" w:cs="Arial"/>
        </w:rPr>
        <w:t>Se aumentaron los canales principales y de contingencia a nivel de datos e internet.</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rPr>
      </w:pPr>
      <w:r w:rsidRPr="0075194F">
        <w:rPr>
          <w:rFonts w:ascii="Arial" w:hAnsi="Arial" w:cs="Arial"/>
        </w:rPr>
        <w:t xml:space="preserve">Se mejoró el modelo del Firewall y el </w:t>
      </w:r>
      <w:proofErr w:type="spellStart"/>
      <w:r w:rsidRPr="0075194F">
        <w:rPr>
          <w:rFonts w:ascii="Arial" w:hAnsi="Arial" w:cs="Arial"/>
        </w:rPr>
        <w:t>switch</w:t>
      </w:r>
      <w:proofErr w:type="spellEnd"/>
      <w:r w:rsidRPr="0075194F">
        <w:rPr>
          <w:rFonts w:ascii="Arial" w:hAnsi="Arial" w:cs="Arial"/>
        </w:rPr>
        <w:t xml:space="preserve"> </w:t>
      </w:r>
      <w:proofErr w:type="spellStart"/>
      <w:r w:rsidRPr="0075194F">
        <w:rPr>
          <w:rFonts w:ascii="Arial" w:hAnsi="Arial" w:cs="Arial"/>
        </w:rPr>
        <w:t>core</w:t>
      </w:r>
      <w:proofErr w:type="spellEnd"/>
      <w:r w:rsidRPr="0075194F">
        <w:rPr>
          <w:rFonts w:ascii="Arial" w:hAnsi="Arial" w:cs="Arial"/>
        </w:rPr>
        <w:t xml:space="preserve"> con alta disponibilidad.</w:t>
      </w:r>
    </w:p>
    <w:p w:rsidR="00374C1A" w:rsidRPr="0075194F" w:rsidRDefault="00374C1A" w:rsidP="00374C1A">
      <w:pPr>
        <w:pStyle w:val="Prrafodelista"/>
        <w:autoSpaceDE w:val="0"/>
        <w:autoSpaceDN w:val="0"/>
        <w:ind w:left="708"/>
        <w:contextualSpacing w:val="0"/>
        <w:jc w:val="both"/>
        <w:rPr>
          <w:rFonts w:ascii="Arial" w:hAnsi="Arial" w:cs="Arial"/>
        </w:rPr>
      </w:pP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t>Para los Registros Públicos de la Cámara de Comercio de Cali y las Cámaras de Comercio del Suroccidente Colombiano se mantienen los planes de contingencia para atender este servicio, el plan incluye el servidor principal, canales de comunicación para las sedes y para las Cámaras del Suroccidente con accesos a internet con canales VPN (Virtual Prívate Network).</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t xml:space="preserve">Se mantienen la contingencia los servidores que soportan el sistema de información financiera-ERP, el sistema de nómina y los servicios virtuales.    </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t>Para la base de datos de Registros Públicos se realizó un incremento de 10 veces su disponibilidad y rendimiento.</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t xml:space="preserve">Se mantiene la aplicación de directivas de seguridad en la red de dominio (Active </w:t>
      </w:r>
      <w:proofErr w:type="spellStart"/>
      <w:r w:rsidRPr="0075194F">
        <w:rPr>
          <w:rFonts w:ascii="Arial" w:hAnsi="Arial" w:cs="Arial"/>
          <w:lang w:val="es-MX"/>
        </w:rPr>
        <w:t>directory</w:t>
      </w:r>
      <w:proofErr w:type="spellEnd"/>
      <w:r w:rsidRPr="0075194F">
        <w:rPr>
          <w:rFonts w:ascii="Arial" w:hAnsi="Arial" w:cs="Arial"/>
          <w:lang w:val="es-MX"/>
        </w:rPr>
        <w:t>) que restringen a los usuarios realizar operaciones administrativas como instalación y des-instalación de programas, cambios de configuración y red.</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lastRenderedPageBreak/>
        <w:t>Se mantiene el esquema de seguridad perimetral que permite el control de acceso a redes no autorizadas por la CCC, filtrado de contenido para la navegación web, spam y alertas ante amenazas y ataques.</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t xml:space="preserve">En seguridad en bases de datos, permanentemente se actualiza y afina las bases de datos Oracle que soportan los servicios del Sistema de Registros Públicos y del Sistema Financiero Uno Enterprise. </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t xml:space="preserve">En consola de antivirus, se mantiene la administración centralizada del antivirus a través de una consola en la cual se hacen </w:t>
      </w:r>
      <w:proofErr w:type="spellStart"/>
      <w:r w:rsidRPr="0075194F">
        <w:rPr>
          <w:rFonts w:ascii="Arial" w:hAnsi="Arial" w:cs="Arial"/>
          <w:lang w:val="es-MX"/>
        </w:rPr>
        <w:t>monitoreos</w:t>
      </w:r>
      <w:proofErr w:type="spellEnd"/>
      <w:r w:rsidRPr="0075194F">
        <w:rPr>
          <w:rFonts w:ascii="Arial" w:hAnsi="Arial" w:cs="Arial"/>
          <w:lang w:val="es-MX"/>
        </w:rPr>
        <w:t xml:space="preserve"> permanentes y se tiene configurada la sincronización y descarga de actualizaciones del antivirus, permitiendo una total homogeneidad de dichas bases de datos entre la consola y todos los equipos de la red de la Cámara de Comercio.</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lang w:val="es-MX"/>
        </w:rPr>
      </w:pPr>
      <w:r w:rsidRPr="0075194F">
        <w:rPr>
          <w:rFonts w:ascii="Arial" w:hAnsi="Arial" w:cs="Arial"/>
          <w:lang w:val="es-MX"/>
        </w:rPr>
        <w:t>Centro de cómputo: se mantienen las condiciones físicas, ambientales y de seguridad para su adecuada operación y se realizaron los mantenimientos preventivos programados a todas las ups y aires acondicionados.</w:t>
      </w:r>
    </w:p>
    <w:p w:rsidR="00374C1A" w:rsidRPr="0075194F" w:rsidRDefault="00374C1A" w:rsidP="00374C1A">
      <w:pPr>
        <w:pStyle w:val="Prrafodelista"/>
        <w:numPr>
          <w:ilvl w:val="0"/>
          <w:numId w:val="12"/>
        </w:numPr>
        <w:autoSpaceDE w:val="0"/>
        <w:autoSpaceDN w:val="0"/>
        <w:ind w:left="708"/>
        <w:contextualSpacing w:val="0"/>
        <w:jc w:val="both"/>
        <w:rPr>
          <w:rFonts w:ascii="Arial" w:hAnsi="Arial" w:cs="Arial"/>
          <w:b/>
          <w:lang w:val="es-MX"/>
        </w:rPr>
      </w:pPr>
      <w:r w:rsidRPr="0075194F">
        <w:rPr>
          <w:rFonts w:ascii="Arial" w:hAnsi="Arial" w:cs="Arial"/>
          <w:b/>
          <w:lang w:val="es-MX"/>
        </w:rPr>
        <w:t>En controles financieros, administrativos y físicos:</w:t>
      </w:r>
    </w:p>
    <w:p w:rsidR="00374C1A" w:rsidRPr="0075194F" w:rsidRDefault="00374C1A" w:rsidP="00374C1A">
      <w:pPr>
        <w:pStyle w:val="Prrafodelista"/>
        <w:numPr>
          <w:ilvl w:val="0"/>
          <w:numId w:val="4"/>
        </w:numPr>
        <w:autoSpaceDE w:val="0"/>
        <w:autoSpaceDN w:val="0"/>
        <w:ind w:left="360"/>
        <w:contextualSpacing w:val="0"/>
        <w:jc w:val="both"/>
        <w:rPr>
          <w:rFonts w:ascii="Arial" w:hAnsi="Arial" w:cs="Arial"/>
          <w:b/>
          <w:lang w:val="es-MX"/>
        </w:rPr>
      </w:pPr>
      <w:r w:rsidRPr="0075194F">
        <w:rPr>
          <w:rFonts w:ascii="Arial" w:hAnsi="Arial" w:cs="Arial"/>
          <w:b/>
          <w:lang w:val="es-MX"/>
        </w:rPr>
        <w:t xml:space="preserve">Controles Financieros: </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El comité financiero continúa funcionando y se reúne con una periodicidad mensual.</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Implementación de reportes tipo consulta para el seguimiento financiero en línea por parte de las áreas encargadas de la ejecución del Plan de Acción.</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Implementación de un nuevo aplicativo para la elaboración del Presupuesto.</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p>
    <w:p w:rsidR="00374C1A" w:rsidRPr="0075194F" w:rsidRDefault="00374C1A" w:rsidP="00374C1A">
      <w:pPr>
        <w:pStyle w:val="Prrafodelista"/>
        <w:numPr>
          <w:ilvl w:val="0"/>
          <w:numId w:val="4"/>
        </w:numPr>
        <w:autoSpaceDE w:val="0"/>
        <w:autoSpaceDN w:val="0"/>
        <w:ind w:left="360"/>
        <w:contextualSpacing w:val="0"/>
        <w:jc w:val="both"/>
        <w:rPr>
          <w:rFonts w:ascii="Arial" w:hAnsi="Arial" w:cs="Arial"/>
          <w:b/>
          <w:lang w:val="es-MX"/>
        </w:rPr>
      </w:pPr>
      <w:r w:rsidRPr="0075194F">
        <w:rPr>
          <w:rFonts w:ascii="Arial" w:hAnsi="Arial" w:cs="Arial"/>
          <w:b/>
          <w:lang w:val="es-MX"/>
        </w:rPr>
        <w:t>Controles Administrativos:</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b/>
          <w:lang w:val="es-MX"/>
        </w:rPr>
        <w:t>Sistema de Gestión de Calidad:</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 xml:space="preserve"> Se renovó la certificación con la norma ISO 9001:2008 para los procesos de Registro Mercantil, Registro de Proponentes y Registro de Entidades sin Ánimo de Lucro, Servicios de Conciliación y Arbitraje. La Auditoria para estos procesos se realizó en junio de 2016.</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 xml:space="preserve">El Centro de Conciliación &amp; Arbitraje renovó la Certificación de Servicios bajo la norma NTC-5906 en junio de 2016. </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El sistema de gestión de calidad consolida, mantiene y publica la totalidad de los manuales, procedimientos e instructivos de cada uno de los procesos en una herramienta tecnología en ambiente WEB</w:t>
      </w:r>
    </w:p>
    <w:p w:rsidR="00374C1A" w:rsidRPr="0075194F" w:rsidRDefault="00374C1A" w:rsidP="00374C1A">
      <w:pPr>
        <w:pStyle w:val="Prrafodelista"/>
        <w:autoSpaceDE w:val="0"/>
        <w:autoSpaceDN w:val="0"/>
        <w:ind w:left="708"/>
        <w:contextualSpacing w:val="0"/>
        <w:jc w:val="both"/>
        <w:rPr>
          <w:rFonts w:ascii="Arial" w:hAnsi="Arial" w:cs="Arial"/>
          <w:lang w:val="es-MX"/>
        </w:rPr>
      </w:pP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b/>
          <w:lang w:val="es-MX"/>
        </w:rPr>
        <w:t>Contratación:</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 xml:space="preserve">Capacitación en el Sistema de Contratación: Se continuó con el programa de capacitación a personal no directivo de la CCC; total capacitados 39 personas. </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lastRenderedPageBreak/>
        <w:t xml:space="preserve">El sistema de información para la gestión de contratos – ORION sigue operando para el 100% de los procesos contractuales. </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En el mes de junio de 2016 se actualizó el manual de contratación, incorporando nuevos controles en cumplimiento del plan de mejoramiento suscrito con la Contraloría General de la Republica.</w:t>
      </w:r>
    </w:p>
    <w:p w:rsidR="00374C1A" w:rsidRPr="0075194F" w:rsidRDefault="00374C1A" w:rsidP="00374C1A">
      <w:pPr>
        <w:pStyle w:val="Prrafodelista"/>
        <w:autoSpaceDE w:val="0"/>
        <w:autoSpaceDN w:val="0"/>
        <w:ind w:left="708"/>
        <w:contextualSpacing w:val="0"/>
        <w:jc w:val="both"/>
        <w:rPr>
          <w:rFonts w:ascii="Arial" w:hAnsi="Arial" w:cs="Arial"/>
          <w:lang w:val="es-MX"/>
        </w:rPr>
      </w:pPr>
    </w:p>
    <w:p w:rsidR="00374C1A" w:rsidRPr="0075194F" w:rsidRDefault="00374C1A" w:rsidP="00374C1A">
      <w:pPr>
        <w:pStyle w:val="Prrafodelista"/>
        <w:numPr>
          <w:ilvl w:val="0"/>
          <w:numId w:val="4"/>
        </w:numPr>
        <w:autoSpaceDE w:val="0"/>
        <w:autoSpaceDN w:val="0"/>
        <w:spacing w:after="0"/>
        <w:ind w:left="360"/>
        <w:contextualSpacing w:val="0"/>
        <w:jc w:val="both"/>
        <w:rPr>
          <w:rFonts w:ascii="Arial" w:hAnsi="Arial" w:cs="Arial"/>
          <w:b/>
          <w:lang w:val="es-MX"/>
        </w:rPr>
      </w:pPr>
      <w:r w:rsidRPr="0075194F">
        <w:rPr>
          <w:rFonts w:ascii="Arial" w:hAnsi="Arial" w:cs="Arial"/>
          <w:b/>
          <w:lang w:val="es-MX"/>
        </w:rPr>
        <w:t>Controles Físicos:</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En el tema de seguridad física, se implementaron los siguientes proyectos:</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Sistemas de control de acceso a las oficinas nuevas de Emprendimiento e Innovación, Asuntos Legales y Contratación, Comunicaciones, Crecimiento Empresarial, Gestión Humana y Correspondencia.</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Control de acceso a los depósitos de archivo de Registros Públicos del piso segundo y sótano en la Sede Principal.</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Sistema contra incendio para las nuevas oficinas de Emprendimiento e Innovación, Asuntos Legales y Contratación, Comunicaciones, Crecimiento Empresarial, Gestión Humana y Correspondencia. También para los archivos de Registros Públicos ubicados en el CEVP y en la Sede Principal del piso segundo, sótano y archivo central.</w:t>
      </w:r>
    </w:p>
    <w:p w:rsidR="00374C1A" w:rsidRPr="0075194F" w:rsidRDefault="00374C1A" w:rsidP="00374C1A">
      <w:pPr>
        <w:pStyle w:val="Prrafodelista"/>
        <w:numPr>
          <w:ilvl w:val="1"/>
          <w:numId w:val="4"/>
        </w:numPr>
        <w:autoSpaceDE w:val="0"/>
        <w:autoSpaceDN w:val="0"/>
        <w:ind w:left="1080"/>
        <w:contextualSpacing w:val="0"/>
        <w:jc w:val="both"/>
        <w:rPr>
          <w:rFonts w:ascii="Arial" w:hAnsi="Arial" w:cs="Arial"/>
          <w:lang w:val="es-MX"/>
        </w:rPr>
      </w:pPr>
      <w:r w:rsidRPr="0075194F">
        <w:rPr>
          <w:rFonts w:ascii="Arial" w:hAnsi="Arial" w:cs="Arial"/>
          <w:lang w:val="es-MX"/>
        </w:rPr>
        <w:t>Sistemas de alarmas para los archivos de la Cámara ubicados en el CEVP, Archivo Central, Correspondencia y Crecimiento Empresarial.</w:t>
      </w:r>
    </w:p>
    <w:p w:rsidR="00374C1A" w:rsidRPr="0075194F" w:rsidRDefault="00374C1A" w:rsidP="00374C1A">
      <w:pPr>
        <w:pStyle w:val="Prrafodelista"/>
        <w:numPr>
          <w:ilvl w:val="1"/>
          <w:numId w:val="4"/>
        </w:numPr>
        <w:autoSpaceDE w:val="0"/>
        <w:autoSpaceDN w:val="0"/>
        <w:ind w:left="1080"/>
        <w:contextualSpacing w:val="0"/>
        <w:jc w:val="both"/>
        <w:rPr>
          <w:rFonts w:ascii="Arial" w:hAnsi="Arial" w:cs="Arial"/>
          <w:lang w:val="es-MX"/>
        </w:rPr>
      </w:pPr>
      <w:r w:rsidRPr="0075194F">
        <w:rPr>
          <w:rFonts w:ascii="Arial" w:hAnsi="Arial" w:cs="Arial"/>
          <w:lang w:val="es-MX"/>
        </w:rPr>
        <w:t>Sistema CCTV para Emprendimiento e Innovación, Asuntos Legales y Contratación, Comunicaciones, Crecimiento Empresarial, Gestión Humana, Correspondencia, Archivo de Registros Públicos en el CEVP y depósitos de archivos de Registros Públicos piso segundo, Sótano y Archivo Central en la Sede Principal.</w:t>
      </w:r>
    </w:p>
    <w:p w:rsidR="00374C1A" w:rsidRPr="0075194F" w:rsidRDefault="00374C1A" w:rsidP="00374C1A">
      <w:pPr>
        <w:pStyle w:val="Prrafodelista"/>
        <w:numPr>
          <w:ilvl w:val="0"/>
          <w:numId w:val="8"/>
        </w:numPr>
        <w:autoSpaceDE w:val="0"/>
        <w:autoSpaceDN w:val="0"/>
        <w:spacing w:after="0"/>
        <w:ind w:left="708"/>
        <w:contextualSpacing w:val="0"/>
        <w:jc w:val="both"/>
        <w:rPr>
          <w:rFonts w:ascii="Arial" w:hAnsi="Arial" w:cs="Arial"/>
          <w:lang w:val="es-MX"/>
        </w:rPr>
      </w:pPr>
      <w:r w:rsidRPr="0075194F">
        <w:rPr>
          <w:rFonts w:ascii="Arial" w:hAnsi="Arial" w:cs="Arial"/>
          <w:lang w:val="es-MX"/>
        </w:rPr>
        <w:t>Los siguientes controles físicos siguen operando y están actualizados:</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Sistema contra incendio para la sede Obrero y Unicentro</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Sistema control de acceso, CCTV ampliado.</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Software de control de acceso a visitantes, con registro biométrico y fotográfico de las personas que ingresan al edificio.</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 xml:space="preserve">Control de acceso de empleados a la entidad a través de tecnología IP, </w:t>
      </w:r>
    </w:p>
    <w:p w:rsidR="00374C1A" w:rsidRPr="0075194F" w:rsidRDefault="00374C1A" w:rsidP="00374C1A">
      <w:pPr>
        <w:pStyle w:val="Prrafodelista"/>
        <w:numPr>
          <w:ilvl w:val="1"/>
          <w:numId w:val="4"/>
        </w:numPr>
        <w:autoSpaceDE w:val="0"/>
        <w:autoSpaceDN w:val="0"/>
        <w:spacing w:after="0"/>
        <w:ind w:left="1080"/>
        <w:contextualSpacing w:val="0"/>
        <w:jc w:val="both"/>
        <w:rPr>
          <w:rFonts w:ascii="Arial" w:hAnsi="Arial" w:cs="Arial"/>
          <w:lang w:val="es-MX"/>
        </w:rPr>
      </w:pPr>
      <w:r w:rsidRPr="0075194F">
        <w:rPr>
          <w:rFonts w:ascii="Arial" w:hAnsi="Arial" w:cs="Arial"/>
          <w:lang w:val="es-MX"/>
        </w:rPr>
        <w:t>Acceso de ingreso al edificio principal unificando por el primer piso para los empleados, copropietarios y visitantes.</w:t>
      </w:r>
    </w:p>
    <w:p w:rsidR="00374C1A" w:rsidRPr="0075194F" w:rsidRDefault="00374C1A" w:rsidP="00374C1A">
      <w:pPr>
        <w:pStyle w:val="Prrafodelista"/>
        <w:autoSpaceDE w:val="0"/>
        <w:autoSpaceDN w:val="0"/>
        <w:ind w:left="1080"/>
        <w:contextualSpacing w:val="0"/>
        <w:jc w:val="both"/>
        <w:rPr>
          <w:rFonts w:ascii="Arial" w:hAnsi="Arial" w:cs="Arial"/>
          <w:lang w:val="es-MX"/>
        </w:rPr>
      </w:pPr>
    </w:p>
    <w:p w:rsidR="00374C1A" w:rsidRPr="0075194F" w:rsidRDefault="00374C1A" w:rsidP="00374C1A">
      <w:pPr>
        <w:pStyle w:val="Prrafodelista"/>
        <w:numPr>
          <w:ilvl w:val="0"/>
          <w:numId w:val="4"/>
        </w:numPr>
        <w:autoSpaceDE w:val="0"/>
        <w:autoSpaceDN w:val="0"/>
        <w:ind w:left="567" w:hanging="567"/>
        <w:contextualSpacing w:val="0"/>
        <w:jc w:val="both"/>
        <w:rPr>
          <w:rFonts w:ascii="Arial" w:hAnsi="Arial" w:cs="Arial"/>
          <w:b/>
          <w:lang w:val="es-MX"/>
        </w:rPr>
      </w:pPr>
      <w:r w:rsidRPr="0075194F">
        <w:rPr>
          <w:rFonts w:ascii="Arial" w:hAnsi="Arial" w:cs="Arial"/>
          <w:b/>
          <w:lang w:val="es-MX"/>
        </w:rPr>
        <w:t>Componente de información y comunicación:</w:t>
      </w:r>
    </w:p>
    <w:p w:rsidR="00374C1A" w:rsidRPr="0075194F" w:rsidRDefault="00374C1A" w:rsidP="00374C1A">
      <w:pPr>
        <w:pStyle w:val="Prrafodelista"/>
        <w:ind w:left="0"/>
        <w:jc w:val="both"/>
        <w:rPr>
          <w:rFonts w:ascii="Arial" w:hAnsi="Arial" w:cs="Arial"/>
          <w:lang w:val="es-MX"/>
        </w:rPr>
      </w:pPr>
      <w:r w:rsidRPr="0075194F">
        <w:rPr>
          <w:rFonts w:ascii="Arial" w:hAnsi="Arial" w:cs="Arial"/>
          <w:lang w:val="es-MX"/>
        </w:rPr>
        <w:t>Este componente tiene como propósito usar información relevante, confiable, oportuna y disponible para controlar y tomar decisiones organizacionales y el comunicar internamente y externamente a través de canales adecuados los aspectos relevantes de la estrategia, los resultados, controles y la operación entre los diferentes grupos de interés</w:t>
      </w:r>
    </w:p>
    <w:p w:rsidR="00374C1A" w:rsidRPr="0075194F" w:rsidRDefault="00374C1A" w:rsidP="00374C1A">
      <w:pPr>
        <w:pStyle w:val="Prrafodelista"/>
        <w:ind w:left="0"/>
        <w:jc w:val="both"/>
        <w:rPr>
          <w:rFonts w:ascii="Arial" w:hAnsi="Arial" w:cs="Arial"/>
          <w:lang w:val="es-MX"/>
        </w:rPr>
      </w:pPr>
    </w:p>
    <w:p w:rsidR="00374C1A" w:rsidRPr="0075194F" w:rsidRDefault="00374C1A" w:rsidP="00374C1A">
      <w:pPr>
        <w:pStyle w:val="Prrafodelista"/>
        <w:numPr>
          <w:ilvl w:val="0"/>
          <w:numId w:val="17"/>
        </w:numPr>
        <w:spacing w:after="0" w:line="240" w:lineRule="auto"/>
        <w:ind w:left="567" w:hanging="567"/>
        <w:jc w:val="both"/>
        <w:rPr>
          <w:rFonts w:ascii="Arial" w:hAnsi="Arial" w:cs="Arial"/>
          <w:b/>
        </w:rPr>
      </w:pPr>
      <w:r w:rsidRPr="0075194F">
        <w:rPr>
          <w:rFonts w:ascii="Arial" w:hAnsi="Arial" w:cs="Arial"/>
          <w:b/>
        </w:rPr>
        <w:t>En el componente de comunicación:</w:t>
      </w:r>
    </w:p>
    <w:p w:rsidR="00374C1A" w:rsidRPr="0075194F" w:rsidRDefault="00374C1A" w:rsidP="00374C1A">
      <w:pPr>
        <w:pStyle w:val="Prrafodelista"/>
        <w:ind w:left="567"/>
        <w:jc w:val="both"/>
        <w:rPr>
          <w:rFonts w:ascii="Arial" w:hAnsi="Arial" w:cs="Arial"/>
          <w:b/>
        </w:rPr>
      </w:pPr>
    </w:p>
    <w:p w:rsidR="00374C1A" w:rsidRPr="0075194F" w:rsidRDefault="00374C1A" w:rsidP="00374C1A">
      <w:pPr>
        <w:numPr>
          <w:ilvl w:val="0"/>
          <w:numId w:val="17"/>
        </w:numPr>
        <w:rPr>
          <w:rFonts w:ascii="Arial" w:hAnsi="Arial" w:cs="Arial"/>
          <w:sz w:val="24"/>
          <w:szCs w:val="24"/>
          <w:lang w:val="es-ES_tradnl"/>
        </w:rPr>
      </w:pPr>
      <w:r w:rsidRPr="0075194F">
        <w:rPr>
          <w:rFonts w:ascii="Arial" w:hAnsi="Arial" w:cs="Arial"/>
          <w:sz w:val="24"/>
          <w:szCs w:val="24"/>
          <w:lang w:val="es-ES_tradnl"/>
        </w:rPr>
        <w:t xml:space="preserve">La Estrategia de comunicación de la Cámara de Comercio de Cali permitió fortalecer la percepción positiva de todos sus grupos de interés, lo cual se demuestra en la medición realizada durante el 2016 a través del Índice Global de Reputación, donde la entidad obtuvo un resultado de 829 puntos sobre 1000 posibles, un resultado altamente positivo y que demuestra un nivel de afinidad que va entre el reconocimiento y la apreciación emocional. Para ello, la CCC ejerció una importante vocería nacional incidiendo en la agenda mediática, donde en su medición de Free </w:t>
      </w:r>
      <w:proofErr w:type="spellStart"/>
      <w:r w:rsidRPr="0075194F">
        <w:rPr>
          <w:rFonts w:ascii="Arial" w:hAnsi="Arial" w:cs="Arial"/>
          <w:sz w:val="24"/>
          <w:szCs w:val="24"/>
          <w:lang w:val="es-ES_tradnl"/>
        </w:rPr>
        <w:t>Press</w:t>
      </w:r>
      <w:proofErr w:type="spellEnd"/>
      <w:r w:rsidRPr="0075194F">
        <w:rPr>
          <w:rFonts w:ascii="Arial" w:hAnsi="Arial" w:cs="Arial"/>
          <w:sz w:val="24"/>
          <w:szCs w:val="24"/>
          <w:lang w:val="es-ES_tradnl"/>
        </w:rPr>
        <w:t xml:space="preserve"> del 100% del valor de las noticias, el 50% correspondió a noticias publicadas en medios nacionales. Igualmente fortaleció su conversación en redes sociales con una tasa de interactividad creciente de un 76% frente al 2015. </w:t>
      </w:r>
    </w:p>
    <w:p w:rsidR="00374C1A" w:rsidRPr="0075194F" w:rsidRDefault="00374C1A" w:rsidP="00374C1A">
      <w:pPr>
        <w:numPr>
          <w:ilvl w:val="0"/>
          <w:numId w:val="17"/>
        </w:numPr>
        <w:rPr>
          <w:rFonts w:ascii="Arial" w:hAnsi="Arial" w:cs="Arial"/>
          <w:sz w:val="24"/>
          <w:szCs w:val="24"/>
          <w:lang w:val="es-ES_tradnl"/>
        </w:rPr>
      </w:pPr>
      <w:r w:rsidRPr="0075194F">
        <w:rPr>
          <w:rFonts w:ascii="Arial" w:hAnsi="Arial" w:cs="Arial"/>
          <w:sz w:val="24"/>
          <w:szCs w:val="24"/>
          <w:lang w:val="es-ES_tradnl"/>
        </w:rPr>
        <w:t xml:space="preserve">La estrategia de comunicación interna estuvo enfocada a continuar fortaleciendo la alineación de la estrategia corporativa a través de la plataforma mediática y relacional interna, cuyos resultados se medirán en el 2017. </w:t>
      </w:r>
    </w:p>
    <w:p w:rsidR="00374C1A" w:rsidRPr="0075194F" w:rsidRDefault="00374C1A" w:rsidP="00374C1A">
      <w:pPr>
        <w:pStyle w:val="Prrafodelista"/>
        <w:numPr>
          <w:ilvl w:val="0"/>
          <w:numId w:val="17"/>
        </w:numPr>
        <w:spacing w:after="0" w:line="240" w:lineRule="auto"/>
        <w:ind w:left="567" w:hanging="567"/>
        <w:jc w:val="both"/>
        <w:rPr>
          <w:rFonts w:ascii="Arial" w:hAnsi="Arial" w:cs="Arial"/>
          <w:b/>
        </w:rPr>
      </w:pPr>
      <w:r w:rsidRPr="0075194F">
        <w:rPr>
          <w:rFonts w:ascii="Arial" w:hAnsi="Arial" w:cs="Arial"/>
          <w:b/>
        </w:rPr>
        <w:t>En el componente de información:</w:t>
      </w:r>
    </w:p>
    <w:p w:rsidR="00374C1A" w:rsidRPr="0075194F" w:rsidRDefault="00374C1A" w:rsidP="00374C1A">
      <w:pPr>
        <w:pStyle w:val="Prrafodelista"/>
        <w:ind w:left="0"/>
        <w:jc w:val="both"/>
        <w:rPr>
          <w:rFonts w:ascii="Arial" w:hAnsi="Arial" w:cs="Arial"/>
          <w:b/>
        </w:rPr>
      </w:pPr>
    </w:p>
    <w:p w:rsidR="00374C1A" w:rsidRPr="0075194F" w:rsidRDefault="00374C1A" w:rsidP="00374C1A">
      <w:pPr>
        <w:pStyle w:val="Prrafodelista"/>
        <w:ind w:left="0"/>
        <w:jc w:val="both"/>
        <w:rPr>
          <w:rFonts w:ascii="Arial" w:hAnsi="Arial" w:cs="Arial"/>
          <w:bCs/>
        </w:rPr>
      </w:pPr>
      <w:r w:rsidRPr="0075194F">
        <w:rPr>
          <w:rFonts w:ascii="Arial" w:hAnsi="Arial" w:cs="Arial"/>
        </w:rPr>
        <w:t>Las siguientes actividades fortalecieron la disponibilidad, protección y acceso de la información</w:t>
      </w:r>
      <w:r w:rsidRPr="0075194F">
        <w:rPr>
          <w:rFonts w:ascii="Arial" w:hAnsi="Arial" w:cs="Arial"/>
          <w:bCs/>
        </w:rPr>
        <w:t>:</w:t>
      </w:r>
    </w:p>
    <w:p w:rsidR="00374C1A" w:rsidRPr="0075194F" w:rsidRDefault="00374C1A" w:rsidP="00374C1A">
      <w:pPr>
        <w:pStyle w:val="Prrafodelista"/>
        <w:ind w:left="0"/>
        <w:jc w:val="both"/>
        <w:rPr>
          <w:rFonts w:ascii="Arial" w:hAnsi="Arial" w:cs="Arial"/>
          <w:b/>
        </w:rPr>
      </w:pPr>
    </w:p>
    <w:p w:rsidR="00374C1A" w:rsidRPr="0075194F" w:rsidRDefault="00374C1A" w:rsidP="00374C1A">
      <w:pPr>
        <w:pStyle w:val="Prrafodelista"/>
        <w:numPr>
          <w:ilvl w:val="0"/>
          <w:numId w:val="18"/>
        </w:numPr>
        <w:autoSpaceDE w:val="0"/>
        <w:autoSpaceDN w:val="0"/>
        <w:contextualSpacing w:val="0"/>
        <w:jc w:val="both"/>
        <w:rPr>
          <w:rFonts w:ascii="Arial" w:hAnsi="Arial" w:cs="Arial"/>
          <w:lang w:val="es-MX"/>
        </w:rPr>
      </w:pPr>
      <w:r w:rsidRPr="0075194F">
        <w:rPr>
          <w:rFonts w:ascii="Arial" w:hAnsi="Arial" w:cs="Arial"/>
          <w:lang w:val="es-MX"/>
        </w:rPr>
        <w:t>Destacamos la implementación del sistema de gestión de seguridad de la información bajo la norma ISO 27000 y 27001 para el proceso de Registros Públicos y el proceso de Gestión Tecnológica que lo soporta, mitigándose con esto los riesgos de disponibilidad, integridad y confidencialidad de la información.</w:t>
      </w:r>
    </w:p>
    <w:p w:rsidR="00374C1A" w:rsidRPr="0075194F" w:rsidRDefault="00374C1A" w:rsidP="00374C1A">
      <w:pPr>
        <w:pStyle w:val="Prrafodelista"/>
        <w:numPr>
          <w:ilvl w:val="0"/>
          <w:numId w:val="18"/>
        </w:numPr>
        <w:autoSpaceDE w:val="0"/>
        <w:autoSpaceDN w:val="0"/>
        <w:contextualSpacing w:val="0"/>
        <w:jc w:val="both"/>
        <w:rPr>
          <w:rFonts w:ascii="Arial" w:hAnsi="Arial" w:cs="Arial"/>
        </w:rPr>
      </w:pPr>
      <w:r w:rsidRPr="0075194F">
        <w:rPr>
          <w:rFonts w:ascii="Arial" w:hAnsi="Arial" w:cs="Arial"/>
          <w:lang w:val="es-MX"/>
        </w:rPr>
        <w:t>Se presentó un cumplimiento del 100% en el plan de gestión documental propuesto para el año 2016.</w:t>
      </w:r>
    </w:p>
    <w:p w:rsidR="00374C1A" w:rsidRPr="0075194F" w:rsidRDefault="00374C1A" w:rsidP="00374C1A">
      <w:pPr>
        <w:pStyle w:val="Prrafodelista"/>
        <w:numPr>
          <w:ilvl w:val="0"/>
          <w:numId w:val="17"/>
        </w:numPr>
        <w:autoSpaceDE w:val="0"/>
        <w:autoSpaceDN w:val="0"/>
        <w:ind w:left="567" w:hanging="567"/>
        <w:contextualSpacing w:val="0"/>
        <w:jc w:val="both"/>
        <w:rPr>
          <w:rFonts w:ascii="Arial" w:hAnsi="Arial" w:cs="Arial"/>
        </w:rPr>
      </w:pPr>
      <w:r w:rsidRPr="0075194F">
        <w:rPr>
          <w:rFonts w:ascii="Arial" w:hAnsi="Arial" w:cs="Arial"/>
          <w:b/>
          <w:lang w:val="es-MX"/>
        </w:rPr>
        <w:t xml:space="preserve">Componente de Supervisión: </w:t>
      </w:r>
    </w:p>
    <w:p w:rsidR="00374C1A" w:rsidRPr="0075194F" w:rsidRDefault="00374C1A" w:rsidP="00374C1A">
      <w:pPr>
        <w:pStyle w:val="Prrafodelista"/>
        <w:ind w:left="348"/>
        <w:jc w:val="both"/>
        <w:rPr>
          <w:rFonts w:ascii="Arial" w:hAnsi="Arial" w:cs="Arial"/>
        </w:rPr>
      </w:pPr>
      <w:r w:rsidRPr="0075194F">
        <w:rPr>
          <w:rFonts w:ascii="Arial" w:hAnsi="Arial" w:cs="Arial"/>
          <w:bCs/>
        </w:rPr>
        <w:t xml:space="preserve">Este componente tiene como objetivos evaluar la efectividad del sistema de control interno- SCI, identificar las oportunidades de mejoramiento del SCI, informar a los directivos de la Cámara sobre el nivel de efectividad del SCI, evaluar el sistema de gestión de riesgos. </w:t>
      </w:r>
    </w:p>
    <w:p w:rsidR="00374C1A" w:rsidRPr="0075194F" w:rsidRDefault="00374C1A" w:rsidP="00374C1A">
      <w:pPr>
        <w:pStyle w:val="Prrafodelista"/>
        <w:ind w:left="348"/>
        <w:jc w:val="both"/>
        <w:rPr>
          <w:rFonts w:ascii="Arial" w:hAnsi="Arial" w:cs="Arial"/>
          <w:lang w:val="es-MX"/>
        </w:rPr>
      </w:pPr>
      <w:r w:rsidRPr="0075194F">
        <w:rPr>
          <w:rFonts w:ascii="Arial" w:hAnsi="Arial" w:cs="Arial"/>
          <w:lang w:val="es-MX"/>
        </w:rPr>
        <w:t>Las actividades más relevantes que fortalecieron el sistema de control interno (SCI):</w:t>
      </w:r>
    </w:p>
    <w:p w:rsidR="00374C1A" w:rsidRDefault="00374C1A" w:rsidP="00374C1A">
      <w:pPr>
        <w:pStyle w:val="Prrafodelista"/>
        <w:ind w:left="348"/>
        <w:jc w:val="both"/>
        <w:rPr>
          <w:rFonts w:ascii="Arial" w:hAnsi="Arial" w:cs="Arial"/>
          <w:b/>
          <w:lang w:val="es-MX"/>
        </w:rPr>
      </w:pPr>
    </w:p>
    <w:p w:rsidR="00374C1A" w:rsidRPr="0075194F" w:rsidRDefault="00374C1A" w:rsidP="00374C1A">
      <w:pPr>
        <w:pStyle w:val="Prrafodelista"/>
        <w:ind w:left="348"/>
        <w:jc w:val="both"/>
        <w:rPr>
          <w:rFonts w:ascii="Arial" w:hAnsi="Arial" w:cs="Arial"/>
          <w:b/>
          <w:lang w:val="es-MX"/>
        </w:rPr>
      </w:pPr>
      <w:bookmarkStart w:id="0" w:name="_GoBack"/>
      <w:bookmarkEnd w:id="0"/>
    </w:p>
    <w:p w:rsidR="00374C1A" w:rsidRPr="0075194F" w:rsidRDefault="00374C1A" w:rsidP="00374C1A">
      <w:pPr>
        <w:pStyle w:val="Prrafodelista"/>
        <w:ind w:left="348"/>
        <w:jc w:val="both"/>
        <w:rPr>
          <w:rFonts w:ascii="Arial" w:hAnsi="Arial" w:cs="Arial"/>
          <w:b/>
          <w:lang w:val="es-MX"/>
        </w:rPr>
      </w:pPr>
      <w:r w:rsidRPr="0075194F">
        <w:rPr>
          <w:rFonts w:ascii="Arial" w:hAnsi="Arial" w:cs="Arial"/>
          <w:b/>
          <w:lang w:val="es-MX"/>
        </w:rPr>
        <w:lastRenderedPageBreak/>
        <w:t>Por parte de la Unidad de Aseguramiento Corporativo:</w:t>
      </w:r>
    </w:p>
    <w:p w:rsidR="00374C1A" w:rsidRPr="0075194F" w:rsidRDefault="00374C1A" w:rsidP="00374C1A">
      <w:pPr>
        <w:pStyle w:val="Prrafodelista"/>
        <w:ind w:left="348"/>
        <w:jc w:val="both"/>
        <w:rPr>
          <w:rFonts w:ascii="Arial" w:hAnsi="Arial" w:cs="Arial"/>
          <w:b/>
        </w:rPr>
      </w:pP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b/>
          <w:lang w:val="es-MX"/>
        </w:rPr>
      </w:pPr>
      <w:r w:rsidRPr="0075194F">
        <w:rPr>
          <w:rFonts w:ascii="Arial" w:hAnsi="Arial" w:cs="Arial"/>
        </w:rPr>
        <w:t>Liderar, monitorear y mantener el sistema de gestión de riesgos.</w:t>
      </w:r>
      <w:r w:rsidRPr="0075194F">
        <w:rPr>
          <w:rFonts w:ascii="Arial" w:hAnsi="Arial" w:cs="Arial"/>
          <w:b/>
          <w:lang w:val="es-MX"/>
        </w:rPr>
        <w:t xml:space="preserve"> </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b/>
          <w:lang w:val="es-MX"/>
        </w:rPr>
      </w:pPr>
      <w:r w:rsidRPr="0075194F">
        <w:rPr>
          <w:rFonts w:ascii="Arial" w:hAnsi="Arial" w:cs="Arial"/>
        </w:rPr>
        <w:t>Liderar la implementación, prueba y actualización del modelo de gestión de continuidad de negocio (BCM) en el proceso de Registros Públicos.</w:t>
      </w:r>
      <w:r w:rsidRPr="0075194F">
        <w:rPr>
          <w:rFonts w:ascii="Arial" w:hAnsi="Arial" w:cs="Arial"/>
          <w:b/>
          <w:lang w:val="es-MX"/>
        </w:rPr>
        <w:t xml:space="preserve"> </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rPr>
      </w:pPr>
      <w:r w:rsidRPr="0075194F">
        <w:rPr>
          <w:rFonts w:ascii="Arial" w:hAnsi="Arial" w:cs="Arial"/>
        </w:rPr>
        <w:t>Liderar la implementación de sistema de gestión de seguridad de la información basados en la norma ISO 27000 y 27001.</w:t>
      </w:r>
      <w:r w:rsidRPr="0075194F">
        <w:rPr>
          <w:rFonts w:ascii="Arial" w:hAnsi="Arial" w:cs="Arial"/>
          <w:lang w:val="es-MX"/>
        </w:rPr>
        <w:t xml:space="preserve"> </w:t>
      </w:r>
    </w:p>
    <w:p w:rsidR="00374C1A" w:rsidRPr="0075194F" w:rsidRDefault="00374C1A" w:rsidP="00374C1A">
      <w:pPr>
        <w:pStyle w:val="Prrafodelista"/>
        <w:numPr>
          <w:ilvl w:val="0"/>
          <w:numId w:val="7"/>
        </w:numPr>
        <w:autoSpaceDE w:val="0"/>
        <w:autoSpaceDN w:val="0"/>
        <w:ind w:left="360"/>
        <w:contextualSpacing w:val="0"/>
        <w:jc w:val="both"/>
        <w:rPr>
          <w:rFonts w:ascii="Arial" w:hAnsi="Arial" w:cs="Arial"/>
        </w:rPr>
      </w:pPr>
      <w:r w:rsidRPr="0075194F">
        <w:rPr>
          <w:rFonts w:ascii="Arial" w:hAnsi="Arial" w:cs="Arial"/>
          <w:lang w:val="es-MX"/>
        </w:rPr>
        <w:t>Cumplimiento del plan general de auditoría integral (auditoría de gestión, financiera, de sistemas, cumplimiento, contratación y operacional) con un enfoque de riesgos, para los procesos claves de la entidad (Gestión Financiera, Registros Públicos, Servicios para los Negocios, Emprendimiento e Innovación, Ciudad Región Competitiva, Económica y Planeación), cuyos resultados y recomendaciones fueron socializados y consensuados con cada una de las direcciones.</w:t>
      </w:r>
    </w:p>
    <w:p w:rsidR="00867CC3" w:rsidRPr="00945ABC" w:rsidRDefault="00867CC3" w:rsidP="00945ABC">
      <w:pPr>
        <w:rPr>
          <w:lang w:val="es-ES"/>
        </w:rPr>
      </w:pPr>
    </w:p>
    <w:sectPr w:rsidR="00867CC3" w:rsidRPr="00945ABC" w:rsidSect="00A82FF8">
      <w:headerReference w:type="default" r:id="rId8"/>
      <w:footerReference w:type="default" r:id="rId9"/>
      <w:pgSz w:w="12240" w:h="15840" w:code="1"/>
      <w:pgMar w:top="1985" w:right="1608"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F6" w:rsidRDefault="009D30F6" w:rsidP="00210CAA">
      <w:pPr>
        <w:spacing w:after="0" w:line="240" w:lineRule="auto"/>
      </w:pPr>
      <w:r>
        <w:separator/>
      </w:r>
    </w:p>
  </w:endnote>
  <w:endnote w:type="continuationSeparator" w:id="0">
    <w:p w:rsidR="009D30F6" w:rsidRDefault="009D30F6" w:rsidP="0021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92" w:rsidRDefault="005E0451">
    <w:pPr>
      <w:pStyle w:val="Piedepgina"/>
    </w:pPr>
    <w:r>
      <w:rPr>
        <w:noProof/>
      </w:rPr>
      <w:drawing>
        <wp:anchor distT="0" distB="0" distL="114300" distR="114300" simplePos="0" relativeHeight="251663360" behindDoc="0" locked="0" layoutInCell="1" allowOverlap="1" wp14:anchorId="0FA456A8" wp14:editId="07A082EE">
          <wp:simplePos x="0" y="0"/>
          <wp:positionH relativeFrom="column">
            <wp:posOffset>-508000</wp:posOffset>
          </wp:positionH>
          <wp:positionV relativeFrom="paragraph">
            <wp:posOffset>-62230</wp:posOffset>
          </wp:positionV>
          <wp:extent cx="6864350" cy="520065"/>
          <wp:effectExtent l="0" t="0" r="0" b="0"/>
          <wp:wrapSquare wrapText="bothSides"/>
          <wp:docPr id="1" name="Imagen 1" descr="Macintosh HD:Users:comunicaciones3:Documents:Gestion de Marca:Manual:Papeleria:MEMBRETE:ARCHIVO ABIERT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es3:Documents:Gestion de Marca:Manual:Papeleria:MEMBRETE:ARCHIVO ABIERTO: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520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F6" w:rsidRDefault="009D30F6" w:rsidP="00210CAA">
      <w:pPr>
        <w:spacing w:after="0" w:line="240" w:lineRule="auto"/>
      </w:pPr>
      <w:r>
        <w:separator/>
      </w:r>
    </w:p>
  </w:footnote>
  <w:footnote w:type="continuationSeparator" w:id="0">
    <w:p w:rsidR="009D30F6" w:rsidRDefault="009D30F6" w:rsidP="0021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92" w:rsidRDefault="00A82FF8">
    <w:pPr>
      <w:pStyle w:val="Encabezado"/>
    </w:pPr>
    <w:r>
      <w:rPr>
        <w:noProof/>
        <w:lang w:val="es-CO" w:eastAsia="es-CO"/>
      </w:rPr>
      <w:drawing>
        <wp:anchor distT="0" distB="0" distL="114300" distR="114300" simplePos="0" relativeHeight="251664384" behindDoc="0" locked="0" layoutInCell="1" allowOverlap="1" wp14:anchorId="76E6ACAC" wp14:editId="06C7CB9B">
          <wp:simplePos x="0" y="0"/>
          <wp:positionH relativeFrom="column">
            <wp:posOffset>-279400</wp:posOffset>
          </wp:positionH>
          <wp:positionV relativeFrom="paragraph">
            <wp:posOffset>-69215</wp:posOffset>
          </wp:positionV>
          <wp:extent cx="1841500" cy="800100"/>
          <wp:effectExtent l="0" t="0" r="12700" b="12700"/>
          <wp:wrapSquare wrapText="bothSides"/>
          <wp:docPr id="2" name="Imagen 2" descr="Macintosh HD:Users:comunicaciones3:Documents:Gestion de Marca:LOGO:Log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es3:Documents:Gestion de Marca:LOGO:LogoC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C92" w:rsidRDefault="00F16C92">
    <w:pPr>
      <w:pStyle w:val="Encabezado"/>
    </w:pPr>
    <w:r>
      <w:rPr>
        <w:noProof/>
        <w:lang w:val="es-CO" w:eastAsia="es-CO"/>
      </w:rPr>
      <w:drawing>
        <wp:inline distT="0" distB="0" distL="0" distR="0" wp14:anchorId="5CA8B9C3" wp14:editId="0A8CDE44">
          <wp:extent cx="5613400" cy="5613400"/>
          <wp:effectExtent l="0" t="0" r="0" b="0"/>
          <wp:docPr id="12" name="Imagen 12" descr="Macintosh HD:Users:comunicaciones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unicaciones3:Desktop: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0" cy="561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2E4"/>
    <w:multiLevelType w:val="hybridMultilevel"/>
    <w:tmpl w:val="AD72A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047AA8"/>
    <w:multiLevelType w:val="hybridMultilevel"/>
    <w:tmpl w:val="0D9C76A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2BA47F35"/>
    <w:multiLevelType w:val="hybridMultilevel"/>
    <w:tmpl w:val="CBF28B26"/>
    <w:lvl w:ilvl="0" w:tplc="99945C3C">
      <w:start w:val="1"/>
      <w:numFmt w:val="bullet"/>
      <w:lvlText w:val="-"/>
      <w:lvlJc w:val="left"/>
      <w:pPr>
        <w:tabs>
          <w:tab w:val="num" w:pos="1776"/>
        </w:tabs>
        <w:ind w:left="1776" w:hanging="360"/>
      </w:pPr>
      <w:rPr>
        <w:rFonts w:ascii="Arial Narrow" w:eastAsia="Times New Roman" w:hAnsi="Arial Narrow" w:cs="Arial Narrow" w:hint="default"/>
      </w:rPr>
    </w:lvl>
    <w:lvl w:ilvl="1" w:tplc="1AC0B628" w:tentative="1">
      <w:start w:val="1"/>
      <w:numFmt w:val="bullet"/>
      <w:lvlText w:val="•"/>
      <w:lvlJc w:val="left"/>
      <w:pPr>
        <w:tabs>
          <w:tab w:val="num" w:pos="2496"/>
        </w:tabs>
        <w:ind w:left="2496" w:hanging="360"/>
      </w:pPr>
      <w:rPr>
        <w:rFonts w:ascii="Arial" w:hAnsi="Arial" w:hint="default"/>
      </w:rPr>
    </w:lvl>
    <w:lvl w:ilvl="2" w:tplc="CB8A1AA0" w:tentative="1">
      <w:start w:val="1"/>
      <w:numFmt w:val="bullet"/>
      <w:lvlText w:val="•"/>
      <w:lvlJc w:val="left"/>
      <w:pPr>
        <w:tabs>
          <w:tab w:val="num" w:pos="3216"/>
        </w:tabs>
        <w:ind w:left="3216" w:hanging="360"/>
      </w:pPr>
      <w:rPr>
        <w:rFonts w:ascii="Arial" w:hAnsi="Arial" w:hint="default"/>
      </w:rPr>
    </w:lvl>
    <w:lvl w:ilvl="3" w:tplc="DF7C2092" w:tentative="1">
      <w:start w:val="1"/>
      <w:numFmt w:val="bullet"/>
      <w:lvlText w:val="•"/>
      <w:lvlJc w:val="left"/>
      <w:pPr>
        <w:tabs>
          <w:tab w:val="num" w:pos="3936"/>
        </w:tabs>
        <w:ind w:left="3936" w:hanging="360"/>
      </w:pPr>
      <w:rPr>
        <w:rFonts w:ascii="Arial" w:hAnsi="Arial" w:hint="default"/>
      </w:rPr>
    </w:lvl>
    <w:lvl w:ilvl="4" w:tplc="D2546366" w:tentative="1">
      <w:start w:val="1"/>
      <w:numFmt w:val="bullet"/>
      <w:lvlText w:val="•"/>
      <w:lvlJc w:val="left"/>
      <w:pPr>
        <w:tabs>
          <w:tab w:val="num" w:pos="4656"/>
        </w:tabs>
        <w:ind w:left="4656" w:hanging="360"/>
      </w:pPr>
      <w:rPr>
        <w:rFonts w:ascii="Arial" w:hAnsi="Arial" w:hint="default"/>
      </w:rPr>
    </w:lvl>
    <w:lvl w:ilvl="5" w:tplc="D00E22F8" w:tentative="1">
      <w:start w:val="1"/>
      <w:numFmt w:val="bullet"/>
      <w:lvlText w:val="•"/>
      <w:lvlJc w:val="left"/>
      <w:pPr>
        <w:tabs>
          <w:tab w:val="num" w:pos="5376"/>
        </w:tabs>
        <w:ind w:left="5376" w:hanging="360"/>
      </w:pPr>
      <w:rPr>
        <w:rFonts w:ascii="Arial" w:hAnsi="Arial" w:hint="default"/>
      </w:rPr>
    </w:lvl>
    <w:lvl w:ilvl="6" w:tplc="E5266866" w:tentative="1">
      <w:start w:val="1"/>
      <w:numFmt w:val="bullet"/>
      <w:lvlText w:val="•"/>
      <w:lvlJc w:val="left"/>
      <w:pPr>
        <w:tabs>
          <w:tab w:val="num" w:pos="6096"/>
        </w:tabs>
        <w:ind w:left="6096" w:hanging="360"/>
      </w:pPr>
      <w:rPr>
        <w:rFonts w:ascii="Arial" w:hAnsi="Arial" w:hint="default"/>
      </w:rPr>
    </w:lvl>
    <w:lvl w:ilvl="7" w:tplc="7188CD56" w:tentative="1">
      <w:start w:val="1"/>
      <w:numFmt w:val="bullet"/>
      <w:lvlText w:val="•"/>
      <w:lvlJc w:val="left"/>
      <w:pPr>
        <w:tabs>
          <w:tab w:val="num" w:pos="6816"/>
        </w:tabs>
        <w:ind w:left="6816" w:hanging="360"/>
      </w:pPr>
      <w:rPr>
        <w:rFonts w:ascii="Arial" w:hAnsi="Arial" w:hint="default"/>
      </w:rPr>
    </w:lvl>
    <w:lvl w:ilvl="8" w:tplc="D70EE80A" w:tentative="1">
      <w:start w:val="1"/>
      <w:numFmt w:val="bullet"/>
      <w:lvlText w:val="•"/>
      <w:lvlJc w:val="left"/>
      <w:pPr>
        <w:tabs>
          <w:tab w:val="num" w:pos="7536"/>
        </w:tabs>
        <w:ind w:left="7536" w:hanging="360"/>
      </w:pPr>
      <w:rPr>
        <w:rFonts w:ascii="Arial" w:hAnsi="Arial" w:hint="default"/>
      </w:rPr>
    </w:lvl>
  </w:abstractNum>
  <w:abstractNum w:abstractNumId="3">
    <w:nsid w:val="2ECD25BC"/>
    <w:multiLevelType w:val="hybridMultilevel"/>
    <w:tmpl w:val="34B45EFE"/>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30BA0A7E"/>
    <w:multiLevelType w:val="hybridMultilevel"/>
    <w:tmpl w:val="F0FA2E8C"/>
    <w:lvl w:ilvl="0" w:tplc="C646DE96">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65A5298"/>
    <w:multiLevelType w:val="hybridMultilevel"/>
    <w:tmpl w:val="444C952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3ACE2602"/>
    <w:multiLevelType w:val="hybridMultilevel"/>
    <w:tmpl w:val="AFE8D6EC"/>
    <w:lvl w:ilvl="0" w:tplc="240A0013">
      <w:start w:val="1"/>
      <w:numFmt w:val="upp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42A868E7"/>
    <w:multiLevelType w:val="hybridMultilevel"/>
    <w:tmpl w:val="40601502"/>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88C7870"/>
    <w:multiLevelType w:val="hybridMultilevel"/>
    <w:tmpl w:val="46D48EB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nsid w:val="4C411980"/>
    <w:multiLevelType w:val="hybridMultilevel"/>
    <w:tmpl w:val="8B0A5FF6"/>
    <w:lvl w:ilvl="0" w:tplc="C810B6A4">
      <w:start w:val="1"/>
      <w:numFmt w:val="bullet"/>
      <w:lvlText w:val=""/>
      <w:lvlJc w:val="left"/>
      <w:pPr>
        <w:ind w:left="1428" w:hanging="360"/>
      </w:pPr>
      <w:rPr>
        <w:rFonts w:ascii="Symbol" w:hAnsi="Symbol" w:hint="default"/>
        <w:lang w:val="es-CO"/>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nsid w:val="4D0D3FD8"/>
    <w:multiLevelType w:val="hybridMultilevel"/>
    <w:tmpl w:val="514ADB2C"/>
    <w:lvl w:ilvl="0" w:tplc="240A0015">
      <w:start w:val="1"/>
      <w:numFmt w:val="upp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nsid w:val="541D31B3"/>
    <w:multiLevelType w:val="multilevel"/>
    <w:tmpl w:val="0A98C15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5461667D"/>
    <w:multiLevelType w:val="hybridMultilevel"/>
    <w:tmpl w:val="5050A668"/>
    <w:lvl w:ilvl="0" w:tplc="99945C3C">
      <w:start w:val="1"/>
      <w:numFmt w:val="bullet"/>
      <w:lvlText w:val="-"/>
      <w:lvlJc w:val="left"/>
      <w:pPr>
        <w:ind w:left="1776" w:hanging="360"/>
      </w:pPr>
      <w:rPr>
        <w:rFonts w:ascii="Arial Narrow" w:eastAsia="Times New Roman" w:hAnsi="Arial Narrow" w:cs="Arial Narro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3">
    <w:nsid w:val="619E483E"/>
    <w:multiLevelType w:val="hybridMultilevel"/>
    <w:tmpl w:val="165E634C"/>
    <w:lvl w:ilvl="0" w:tplc="99945C3C">
      <w:start w:val="1"/>
      <w:numFmt w:val="bullet"/>
      <w:lvlText w:val="-"/>
      <w:lvlJc w:val="left"/>
      <w:pPr>
        <w:ind w:left="1776" w:hanging="360"/>
      </w:pPr>
      <w:rPr>
        <w:rFonts w:ascii="Arial Narrow" w:eastAsia="Times New Roman" w:hAnsi="Arial Narrow" w:cs="Arial Narrow" w:hint="default"/>
      </w:rPr>
    </w:lvl>
    <w:lvl w:ilvl="1" w:tplc="99945C3C">
      <w:start w:val="1"/>
      <w:numFmt w:val="bullet"/>
      <w:lvlText w:val="-"/>
      <w:lvlJc w:val="left"/>
      <w:pPr>
        <w:ind w:left="2496" w:hanging="360"/>
      </w:pPr>
      <w:rPr>
        <w:rFonts w:ascii="Arial Narrow" w:eastAsia="Times New Roman" w:hAnsi="Arial Narrow" w:cs="Arial Narro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4">
    <w:nsid w:val="6A2E2894"/>
    <w:multiLevelType w:val="hybridMultilevel"/>
    <w:tmpl w:val="48D2F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FDF10E5"/>
    <w:multiLevelType w:val="hybridMultilevel"/>
    <w:tmpl w:val="D4FEBC92"/>
    <w:lvl w:ilvl="0" w:tplc="C646DE96">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0B532C"/>
    <w:multiLevelType w:val="hybridMultilevel"/>
    <w:tmpl w:val="CCF68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F833FF"/>
    <w:multiLevelType w:val="hybridMultilevel"/>
    <w:tmpl w:val="064028C4"/>
    <w:lvl w:ilvl="0" w:tplc="8EFCF7C6">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num w:numId="1">
    <w:abstractNumId w:val="16"/>
  </w:num>
  <w:num w:numId="2">
    <w:abstractNumId w:val="3"/>
  </w:num>
  <w:num w:numId="3">
    <w:abstractNumId w:val="7"/>
  </w:num>
  <w:num w:numId="4">
    <w:abstractNumId w:val="8"/>
  </w:num>
  <w:num w:numId="5">
    <w:abstractNumId w:val="9"/>
  </w:num>
  <w:num w:numId="6">
    <w:abstractNumId w:val="11"/>
  </w:num>
  <w:num w:numId="7">
    <w:abstractNumId w:val="1"/>
  </w:num>
  <w:num w:numId="8">
    <w:abstractNumId w:val="12"/>
  </w:num>
  <w:num w:numId="9">
    <w:abstractNumId w:val="13"/>
  </w:num>
  <w:num w:numId="10">
    <w:abstractNumId w:val="2"/>
  </w:num>
  <w:num w:numId="11">
    <w:abstractNumId w:val="6"/>
  </w:num>
  <w:num w:numId="12">
    <w:abstractNumId w:val="10"/>
  </w:num>
  <w:num w:numId="13">
    <w:abstractNumId w:val="17"/>
  </w:num>
  <w:num w:numId="14">
    <w:abstractNumId w:val="5"/>
  </w:num>
  <w:num w:numId="15">
    <w:abstractNumId w:val="0"/>
  </w:num>
  <w:num w:numId="16">
    <w:abstractNumId w:val="15"/>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AA"/>
    <w:rsid w:val="000A6C02"/>
    <w:rsid w:val="000C1677"/>
    <w:rsid w:val="000D5E3E"/>
    <w:rsid w:val="00151F92"/>
    <w:rsid w:val="001B4973"/>
    <w:rsid w:val="001C1A0F"/>
    <w:rsid w:val="00210CAA"/>
    <w:rsid w:val="00266EFA"/>
    <w:rsid w:val="00296297"/>
    <w:rsid w:val="00306AC6"/>
    <w:rsid w:val="00314E5D"/>
    <w:rsid w:val="00374C1A"/>
    <w:rsid w:val="003850B2"/>
    <w:rsid w:val="00496880"/>
    <w:rsid w:val="00515A72"/>
    <w:rsid w:val="00534253"/>
    <w:rsid w:val="00536C44"/>
    <w:rsid w:val="005B4150"/>
    <w:rsid w:val="005C53C5"/>
    <w:rsid w:val="005E0451"/>
    <w:rsid w:val="006F0A46"/>
    <w:rsid w:val="00723CEC"/>
    <w:rsid w:val="007D7643"/>
    <w:rsid w:val="008645ED"/>
    <w:rsid w:val="00867CC3"/>
    <w:rsid w:val="00945ABC"/>
    <w:rsid w:val="00991916"/>
    <w:rsid w:val="009D30F6"/>
    <w:rsid w:val="009D3BDF"/>
    <w:rsid w:val="009F0F51"/>
    <w:rsid w:val="00A047D4"/>
    <w:rsid w:val="00A44AD5"/>
    <w:rsid w:val="00A674A1"/>
    <w:rsid w:val="00A82FF8"/>
    <w:rsid w:val="00AA2A43"/>
    <w:rsid w:val="00AB36DD"/>
    <w:rsid w:val="00B15105"/>
    <w:rsid w:val="00B31274"/>
    <w:rsid w:val="00B867F6"/>
    <w:rsid w:val="00C275FA"/>
    <w:rsid w:val="00D1466B"/>
    <w:rsid w:val="00D20B48"/>
    <w:rsid w:val="00DB33CE"/>
    <w:rsid w:val="00E903CD"/>
    <w:rsid w:val="00EB1A5E"/>
    <w:rsid w:val="00F16C92"/>
    <w:rsid w:val="00FA4CC7"/>
    <w:rsid w:val="00FE6D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CAA"/>
    <w:pPr>
      <w:tabs>
        <w:tab w:val="center" w:pos="4252"/>
        <w:tab w:val="right" w:pos="8504"/>
      </w:tabs>
      <w:spacing w:after="0" w:line="240" w:lineRule="auto"/>
    </w:pPr>
    <w:rPr>
      <w:rFonts w:eastAsiaTheme="minorHAnsi"/>
      <w:lang w:val="es-ES" w:eastAsia="en-US"/>
    </w:rPr>
  </w:style>
  <w:style w:type="character" w:customStyle="1" w:styleId="EncabezadoCar">
    <w:name w:val="Encabezado Car"/>
    <w:basedOn w:val="Fuentedeprrafopredeter"/>
    <w:link w:val="Encabezado"/>
    <w:uiPriority w:val="99"/>
    <w:rsid w:val="00210CAA"/>
  </w:style>
  <w:style w:type="paragraph" w:styleId="Piedepgina">
    <w:name w:val="footer"/>
    <w:basedOn w:val="Normal"/>
    <w:link w:val="PiedepginaCar"/>
    <w:uiPriority w:val="99"/>
    <w:unhideWhenUsed/>
    <w:rsid w:val="00210C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CAA"/>
  </w:style>
  <w:style w:type="paragraph" w:styleId="Textodeglobo">
    <w:name w:val="Balloon Text"/>
    <w:basedOn w:val="Normal"/>
    <w:link w:val="TextodegloboCar"/>
    <w:uiPriority w:val="99"/>
    <w:semiHidden/>
    <w:unhideWhenUsed/>
    <w:rsid w:val="00210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CAA"/>
    <w:rPr>
      <w:rFonts w:ascii="Tahoma" w:hAnsi="Tahoma" w:cs="Tahoma"/>
      <w:sz w:val="16"/>
      <w:szCs w:val="16"/>
    </w:rPr>
  </w:style>
  <w:style w:type="paragraph" w:styleId="Prrafodelista">
    <w:name w:val="List Paragraph"/>
    <w:basedOn w:val="Normal"/>
    <w:uiPriority w:val="34"/>
    <w:qFormat/>
    <w:rsid w:val="009D3BDF"/>
    <w:pPr>
      <w:ind w:left="720"/>
      <w:contextualSpacing/>
    </w:pPr>
    <w:rPr>
      <w:rFonts w:eastAsiaTheme="minorHAnsi"/>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CAA"/>
    <w:pPr>
      <w:tabs>
        <w:tab w:val="center" w:pos="4252"/>
        <w:tab w:val="right" w:pos="8504"/>
      </w:tabs>
      <w:spacing w:after="0" w:line="240" w:lineRule="auto"/>
    </w:pPr>
    <w:rPr>
      <w:rFonts w:eastAsiaTheme="minorHAnsi"/>
      <w:lang w:val="es-ES" w:eastAsia="en-US"/>
    </w:rPr>
  </w:style>
  <w:style w:type="character" w:customStyle="1" w:styleId="EncabezadoCar">
    <w:name w:val="Encabezado Car"/>
    <w:basedOn w:val="Fuentedeprrafopredeter"/>
    <w:link w:val="Encabezado"/>
    <w:uiPriority w:val="99"/>
    <w:rsid w:val="00210CAA"/>
  </w:style>
  <w:style w:type="paragraph" w:styleId="Piedepgina">
    <w:name w:val="footer"/>
    <w:basedOn w:val="Normal"/>
    <w:link w:val="PiedepginaCar"/>
    <w:uiPriority w:val="99"/>
    <w:unhideWhenUsed/>
    <w:rsid w:val="00210C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CAA"/>
  </w:style>
  <w:style w:type="paragraph" w:styleId="Textodeglobo">
    <w:name w:val="Balloon Text"/>
    <w:basedOn w:val="Normal"/>
    <w:link w:val="TextodegloboCar"/>
    <w:uiPriority w:val="99"/>
    <w:semiHidden/>
    <w:unhideWhenUsed/>
    <w:rsid w:val="00210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CAA"/>
    <w:rPr>
      <w:rFonts w:ascii="Tahoma" w:hAnsi="Tahoma" w:cs="Tahoma"/>
      <w:sz w:val="16"/>
      <w:szCs w:val="16"/>
    </w:rPr>
  </w:style>
  <w:style w:type="paragraph" w:styleId="Prrafodelista">
    <w:name w:val="List Paragraph"/>
    <w:basedOn w:val="Normal"/>
    <w:uiPriority w:val="34"/>
    <w:qFormat/>
    <w:rsid w:val="009D3BDF"/>
    <w:pPr>
      <w:ind w:left="720"/>
      <w:contextualSpacing/>
    </w:pPr>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2115</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mcamacho</dc:creator>
  <cp:lastModifiedBy>Eliana Fernanda Bedoya Ramirez</cp:lastModifiedBy>
  <cp:revision>2</cp:revision>
  <cp:lastPrinted>2014-08-06T21:20:00Z</cp:lastPrinted>
  <dcterms:created xsi:type="dcterms:W3CDTF">2017-06-30T20:21:00Z</dcterms:created>
  <dcterms:modified xsi:type="dcterms:W3CDTF">2017-06-30T20:21:00Z</dcterms:modified>
</cp:coreProperties>
</file>