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5C" w:rsidRDefault="002F485C" w:rsidP="00D4518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921604" w:rsidRDefault="00921604" w:rsidP="00921604">
      <w:pPr>
        <w:pStyle w:val="Prrafodelista"/>
        <w:numPr>
          <w:ilvl w:val="0"/>
          <w:numId w:val="8"/>
        </w:num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21604">
        <w:rPr>
          <w:rFonts w:asciiTheme="minorHAnsi" w:hAnsiTheme="minorHAnsi"/>
          <w:b/>
          <w:sz w:val="24"/>
          <w:szCs w:val="24"/>
        </w:rPr>
        <w:t>Introducción</w:t>
      </w:r>
    </w:p>
    <w:p w:rsidR="001068BA" w:rsidRPr="001068BA" w:rsidRDefault="001068BA" w:rsidP="001068B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21604" w:rsidRDefault="006414CD" w:rsidP="006414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14CD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l presente ejercicio </w:t>
      </w:r>
      <w:r w:rsidRPr="006414CD">
        <w:rPr>
          <w:rFonts w:asciiTheme="minorHAnsi" w:hAnsiTheme="minorHAnsi"/>
          <w:sz w:val="24"/>
          <w:szCs w:val="24"/>
        </w:rPr>
        <w:t>se centra en los procedimientos contables que sigue una entidad que adopta por</w:t>
      </w:r>
      <w:r>
        <w:rPr>
          <w:rFonts w:asciiTheme="minorHAnsi" w:hAnsiTheme="minorHAnsi"/>
          <w:sz w:val="24"/>
          <w:szCs w:val="24"/>
        </w:rPr>
        <w:t xml:space="preserve"> </w:t>
      </w:r>
      <w:r w:rsidRPr="006414CD">
        <w:rPr>
          <w:rFonts w:asciiTheme="minorHAnsi" w:hAnsiTheme="minorHAnsi"/>
          <w:sz w:val="24"/>
          <w:szCs w:val="24"/>
        </w:rPr>
        <w:t>primera vez la NIIF para las PYMES como se especifica en la Sección 35 Transición a la NIIF</w:t>
      </w:r>
      <w:r>
        <w:rPr>
          <w:rFonts w:asciiTheme="minorHAnsi" w:hAnsiTheme="minorHAnsi"/>
          <w:sz w:val="24"/>
          <w:szCs w:val="24"/>
        </w:rPr>
        <w:t xml:space="preserve"> </w:t>
      </w:r>
      <w:r w:rsidRPr="006414CD">
        <w:rPr>
          <w:rFonts w:asciiTheme="minorHAnsi" w:hAnsiTheme="minorHAnsi"/>
          <w:sz w:val="24"/>
          <w:szCs w:val="24"/>
        </w:rPr>
        <w:t>para las PYMES</w:t>
      </w:r>
      <w:r w:rsidR="007C4FB2">
        <w:rPr>
          <w:rFonts w:asciiTheme="minorHAnsi" w:hAnsiTheme="minorHAnsi"/>
          <w:sz w:val="24"/>
          <w:szCs w:val="24"/>
        </w:rPr>
        <w:t>, contemplado en el Decreto 3022 de 2013</w:t>
      </w:r>
      <w:r w:rsidRPr="006414CD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P</w:t>
      </w:r>
      <w:r w:rsidRPr="006414CD">
        <w:rPr>
          <w:rFonts w:asciiTheme="minorHAnsi" w:hAnsiTheme="minorHAnsi"/>
          <w:sz w:val="24"/>
          <w:szCs w:val="24"/>
        </w:rPr>
        <w:t>resenta</w:t>
      </w:r>
      <w:r>
        <w:rPr>
          <w:rFonts w:asciiTheme="minorHAnsi" w:hAnsiTheme="minorHAnsi"/>
          <w:sz w:val="24"/>
          <w:szCs w:val="24"/>
        </w:rPr>
        <w:t>mos</w:t>
      </w:r>
      <w:r w:rsidRPr="006414CD">
        <w:rPr>
          <w:rFonts w:asciiTheme="minorHAnsi" w:hAnsiTheme="minorHAnsi"/>
          <w:sz w:val="24"/>
          <w:szCs w:val="24"/>
        </w:rPr>
        <w:t xml:space="preserve"> el tema a</w:t>
      </w:r>
      <w:r>
        <w:rPr>
          <w:rFonts w:asciiTheme="minorHAnsi" w:hAnsiTheme="minorHAnsi"/>
          <w:sz w:val="24"/>
          <w:szCs w:val="24"/>
        </w:rPr>
        <w:t xml:space="preserve"> </w:t>
      </w:r>
      <w:r w:rsidRPr="006414CD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os</w:t>
      </w:r>
      <w:r w:rsidRPr="006414C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potenciales usuarios</w:t>
      </w:r>
      <w:r w:rsidRPr="006414CD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como una </w:t>
      </w:r>
      <w:r w:rsidRPr="006414CD">
        <w:rPr>
          <w:rFonts w:asciiTheme="minorHAnsi" w:hAnsiTheme="minorHAnsi"/>
          <w:sz w:val="24"/>
          <w:szCs w:val="24"/>
        </w:rPr>
        <w:t xml:space="preserve">guía </w:t>
      </w:r>
      <w:r>
        <w:rPr>
          <w:rFonts w:asciiTheme="minorHAnsi" w:hAnsiTheme="minorHAnsi"/>
          <w:sz w:val="24"/>
          <w:szCs w:val="24"/>
        </w:rPr>
        <w:t xml:space="preserve">preparada </w:t>
      </w:r>
      <w:r w:rsidRPr="006414CD">
        <w:rPr>
          <w:rFonts w:asciiTheme="minorHAnsi" w:hAnsiTheme="minorHAnsi"/>
          <w:sz w:val="24"/>
          <w:szCs w:val="24"/>
        </w:rPr>
        <w:t>a través</w:t>
      </w:r>
      <w:r>
        <w:rPr>
          <w:rFonts w:asciiTheme="minorHAnsi" w:hAnsiTheme="minorHAnsi"/>
          <w:sz w:val="24"/>
          <w:szCs w:val="24"/>
        </w:rPr>
        <w:t xml:space="preserve"> </w:t>
      </w:r>
      <w:r w:rsidRPr="006414CD">
        <w:rPr>
          <w:rFonts w:asciiTheme="minorHAnsi" w:hAnsiTheme="minorHAnsi"/>
          <w:sz w:val="24"/>
          <w:szCs w:val="24"/>
        </w:rPr>
        <w:t>del texto oficial, f</w:t>
      </w:r>
      <w:r>
        <w:rPr>
          <w:rFonts w:asciiTheme="minorHAnsi" w:hAnsiTheme="minorHAnsi"/>
          <w:sz w:val="24"/>
          <w:szCs w:val="24"/>
        </w:rPr>
        <w:t xml:space="preserve">acilita el entendimiento de los </w:t>
      </w:r>
      <w:r w:rsidRPr="006414CD">
        <w:rPr>
          <w:rFonts w:asciiTheme="minorHAnsi" w:hAnsiTheme="minorHAnsi"/>
          <w:sz w:val="24"/>
          <w:szCs w:val="24"/>
        </w:rPr>
        <w:t>requerimientos a través de ejemplos y especifica</w:t>
      </w:r>
      <w:r>
        <w:rPr>
          <w:rFonts w:asciiTheme="minorHAnsi" w:hAnsiTheme="minorHAnsi"/>
          <w:sz w:val="24"/>
          <w:szCs w:val="24"/>
        </w:rPr>
        <w:t xml:space="preserve"> </w:t>
      </w:r>
      <w:r w:rsidRPr="006414CD">
        <w:rPr>
          <w:rFonts w:asciiTheme="minorHAnsi" w:hAnsiTheme="minorHAnsi"/>
          <w:sz w:val="24"/>
          <w:szCs w:val="24"/>
        </w:rPr>
        <w:t>juicios profesionales esenciales que se requieren en la contabilización de la transición a la NIIF</w:t>
      </w:r>
      <w:r>
        <w:rPr>
          <w:rFonts w:asciiTheme="minorHAnsi" w:hAnsiTheme="minorHAnsi"/>
          <w:sz w:val="24"/>
          <w:szCs w:val="24"/>
        </w:rPr>
        <w:t xml:space="preserve"> </w:t>
      </w:r>
      <w:r w:rsidRPr="006414CD">
        <w:rPr>
          <w:rFonts w:asciiTheme="minorHAnsi" w:hAnsiTheme="minorHAnsi"/>
          <w:sz w:val="24"/>
          <w:szCs w:val="24"/>
        </w:rPr>
        <w:t xml:space="preserve">para las PYMES. Además, el </w:t>
      </w:r>
      <w:r>
        <w:rPr>
          <w:rFonts w:asciiTheme="minorHAnsi" w:hAnsiTheme="minorHAnsi"/>
          <w:sz w:val="24"/>
          <w:szCs w:val="24"/>
        </w:rPr>
        <w:t>ejercicio</w:t>
      </w:r>
      <w:r w:rsidRPr="006414CD">
        <w:rPr>
          <w:rFonts w:asciiTheme="minorHAnsi" w:hAnsiTheme="minorHAnsi"/>
          <w:sz w:val="24"/>
          <w:szCs w:val="24"/>
        </w:rPr>
        <w:t xml:space="preserve"> incluye </w:t>
      </w:r>
      <w:r>
        <w:rPr>
          <w:rFonts w:asciiTheme="minorHAnsi" w:hAnsiTheme="minorHAnsi"/>
          <w:sz w:val="24"/>
          <w:szCs w:val="24"/>
        </w:rPr>
        <w:t xml:space="preserve">los </w:t>
      </w:r>
      <w:r w:rsidRPr="006414CD">
        <w:rPr>
          <w:rFonts w:asciiTheme="minorHAnsi" w:hAnsiTheme="minorHAnsi"/>
          <w:sz w:val="24"/>
          <w:szCs w:val="24"/>
        </w:rPr>
        <w:t xml:space="preserve">casos prácticos a fin de </w:t>
      </w:r>
      <w:r>
        <w:rPr>
          <w:rFonts w:asciiTheme="minorHAnsi" w:hAnsiTheme="minorHAnsi"/>
          <w:sz w:val="24"/>
          <w:szCs w:val="24"/>
        </w:rPr>
        <w:t xml:space="preserve">orientar el proceso de </w:t>
      </w:r>
      <w:r w:rsidRPr="006414CD">
        <w:rPr>
          <w:rFonts w:asciiTheme="minorHAnsi" w:hAnsiTheme="minorHAnsi"/>
          <w:sz w:val="24"/>
          <w:szCs w:val="24"/>
        </w:rPr>
        <w:t>contabiliza</w:t>
      </w:r>
      <w:r>
        <w:rPr>
          <w:rFonts w:asciiTheme="minorHAnsi" w:hAnsiTheme="minorHAnsi"/>
          <w:sz w:val="24"/>
          <w:szCs w:val="24"/>
        </w:rPr>
        <w:t xml:space="preserve">ción en </w:t>
      </w:r>
      <w:r w:rsidRPr="006414CD">
        <w:rPr>
          <w:rFonts w:asciiTheme="minorHAnsi" w:hAnsiTheme="minorHAnsi"/>
          <w:sz w:val="24"/>
          <w:szCs w:val="24"/>
        </w:rPr>
        <w:t xml:space="preserve"> la adopción por primera vez de la NIIF para las PYMES y revelar la información</w:t>
      </w:r>
      <w:r>
        <w:rPr>
          <w:rFonts w:asciiTheme="minorHAnsi" w:hAnsiTheme="minorHAnsi"/>
          <w:sz w:val="24"/>
          <w:szCs w:val="24"/>
        </w:rPr>
        <w:t xml:space="preserve"> </w:t>
      </w:r>
      <w:r w:rsidRPr="006414CD">
        <w:rPr>
          <w:rFonts w:asciiTheme="minorHAnsi" w:hAnsiTheme="minorHAnsi"/>
          <w:sz w:val="24"/>
          <w:szCs w:val="24"/>
        </w:rPr>
        <w:t>requerida en los primeros estados financieros de una entidad en conformidad con esa NIIF</w:t>
      </w:r>
      <w:r>
        <w:rPr>
          <w:rFonts w:asciiTheme="minorHAnsi" w:hAnsiTheme="minorHAnsi"/>
          <w:sz w:val="24"/>
          <w:szCs w:val="24"/>
        </w:rPr>
        <w:t xml:space="preserve"> para PYMES</w:t>
      </w:r>
      <w:r w:rsidRPr="006414CD">
        <w:rPr>
          <w:rFonts w:asciiTheme="minorHAnsi" w:hAnsiTheme="minorHAnsi"/>
          <w:sz w:val="24"/>
          <w:szCs w:val="24"/>
        </w:rPr>
        <w:t>.</w:t>
      </w:r>
    </w:p>
    <w:p w:rsidR="006414CD" w:rsidRDefault="006414CD" w:rsidP="006414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068BA" w:rsidRPr="001068BA" w:rsidRDefault="006414CD" w:rsidP="001068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 ejercicio práctico contempla </w:t>
      </w:r>
      <w:r w:rsidR="00B67BA3">
        <w:rPr>
          <w:rFonts w:asciiTheme="minorHAnsi" w:hAnsiTheme="minorHAnsi"/>
          <w:sz w:val="24"/>
          <w:szCs w:val="24"/>
        </w:rPr>
        <w:t xml:space="preserve">los aspectos básicos del proceso de adopción por primera vez, considerando los requerimientos de la </w:t>
      </w:r>
      <w:r w:rsidR="008B02D1">
        <w:rPr>
          <w:rFonts w:asciiTheme="minorHAnsi" w:hAnsiTheme="minorHAnsi"/>
          <w:sz w:val="24"/>
          <w:szCs w:val="24"/>
        </w:rPr>
        <w:t>sección 35</w:t>
      </w:r>
      <w:r w:rsidR="001068BA">
        <w:rPr>
          <w:rFonts w:asciiTheme="minorHAnsi" w:hAnsiTheme="minorHAnsi"/>
          <w:sz w:val="24"/>
          <w:szCs w:val="24"/>
        </w:rPr>
        <w:t xml:space="preserve"> </w:t>
      </w:r>
      <w:r w:rsidR="001068BA" w:rsidRPr="001068BA">
        <w:rPr>
          <w:rFonts w:asciiTheme="minorHAnsi" w:hAnsiTheme="minorHAnsi"/>
          <w:sz w:val="24"/>
          <w:szCs w:val="24"/>
        </w:rPr>
        <w:t>Adopción por primera vez</w:t>
      </w:r>
    </w:p>
    <w:p w:rsidR="001068BA" w:rsidRPr="001068BA" w:rsidRDefault="001068BA" w:rsidP="001068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8BA">
        <w:rPr>
          <w:rFonts w:asciiTheme="minorHAnsi" w:hAnsiTheme="minorHAnsi"/>
          <w:sz w:val="24"/>
          <w:szCs w:val="24"/>
        </w:rPr>
        <w:t xml:space="preserve">Una entidad que adopte por primera vez la NIIF para las PYMES </w:t>
      </w:r>
      <w:r>
        <w:rPr>
          <w:rFonts w:asciiTheme="minorHAnsi" w:hAnsiTheme="minorHAnsi"/>
          <w:sz w:val="24"/>
          <w:szCs w:val="24"/>
        </w:rPr>
        <w:t xml:space="preserve">aplicará esta sección en </w:t>
      </w:r>
      <w:r w:rsidRPr="001068BA">
        <w:rPr>
          <w:rFonts w:asciiTheme="minorHAnsi" w:hAnsiTheme="minorHAnsi"/>
          <w:sz w:val="24"/>
          <w:szCs w:val="24"/>
        </w:rPr>
        <w:t>sus primeros estados financieros preparados conforme a esta NIIF.</w:t>
      </w:r>
    </w:p>
    <w:p w:rsidR="001068BA" w:rsidRDefault="001068BA" w:rsidP="001068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068BA" w:rsidRPr="001068BA" w:rsidRDefault="001068BA" w:rsidP="001068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8BA">
        <w:rPr>
          <w:rFonts w:asciiTheme="minorHAnsi" w:hAnsiTheme="minorHAnsi"/>
          <w:sz w:val="24"/>
          <w:szCs w:val="24"/>
        </w:rPr>
        <w:t>El objetivo de la Sección 35 es brindar orientación y simp</w:t>
      </w:r>
      <w:r>
        <w:rPr>
          <w:rFonts w:asciiTheme="minorHAnsi" w:hAnsiTheme="minorHAnsi"/>
          <w:sz w:val="24"/>
          <w:szCs w:val="24"/>
        </w:rPr>
        <w:t xml:space="preserve">lificar la carga que implica la </w:t>
      </w:r>
      <w:r w:rsidRPr="001068BA">
        <w:rPr>
          <w:rFonts w:asciiTheme="minorHAnsi" w:hAnsiTheme="minorHAnsi"/>
          <w:sz w:val="24"/>
          <w:szCs w:val="24"/>
        </w:rPr>
        <w:t>Información financiera para una entidad que elab</w:t>
      </w:r>
      <w:r>
        <w:rPr>
          <w:rFonts w:asciiTheme="minorHAnsi" w:hAnsiTheme="minorHAnsi"/>
          <w:sz w:val="24"/>
          <w:szCs w:val="24"/>
        </w:rPr>
        <w:t xml:space="preserve">ora por primera vez sus estados </w:t>
      </w:r>
      <w:r w:rsidRPr="001068BA">
        <w:rPr>
          <w:rFonts w:asciiTheme="minorHAnsi" w:hAnsiTheme="minorHAnsi"/>
          <w:sz w:val="24"/>
          <w:szCs w:val="24"/>
        </w:rPr>
        <w:t xml:space="preserve">financieros de acuerdo con la NIIF para las PYMES. Sin la </w:t>
      </w:r>
      <w:r>
        <w:rPr>
          <w:rFonts w:asciiTheme="minorHAnsi" w:hAnsiTheme="minorHAnsi"/>
          <w:sz w:val="24"/>
          <w:szCs w:val="24"/>
        </w:rPr>
        <w:t xml:space="preserve">Sección 35, a una entidad se le </w:t>
      </w:r>
      <w:r w:rsidRPr="001068BA">
        <w:rPr>
          <w:rFonts w:asciiTheme="minorHAnsi" w:hAnsiTheme="minorHAnsi"/>
          <w:sz w:val="24"/>
          <w:szCs w:val="24"/>
        </w:rPr>
        <w:t>exigiría aplicar todos los requerimientos de la NIIF para las PYMES de forma retroactiva.</w:t>
      </w:r>
    </w:p>
    <w:p w:rsidR="001068BA" w:rsidRDefault="001068BA" w:rsidP="001068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414CD" w:rsidRDefault="001068BA" w:rsidP="001068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068BA">
        <w:rPr>
          <w:rFonts w:asciiTheme="minorHAnsi" w:hAnsiTheme="minorHAnsi"/>
          <w:sz w:val="24"/>
          <w:szCs w:val="24"/>
        </w:rPr>
        <w:t>Los primeros estados financieros de una entidad confor</w:t>
      </w:r>
      <w:r>
        <w:rPr>
          <w:rFonts w:asciiTheme="minorHAnsi" w:hAnsiTheme="minorHAnsi"/>
          <w:sz w:val="24"/>
          <w:szCs w:val="24"/>
        </w:rPr>
        <w:t xml:space="preserve">me a esta NIIF son los primeros </w:t>
      </w:r>
      <w:r w:rsidRPr="001068BA">
        <w:rPr>
          <w:rFonts w:asciiTheme="minorHAnsi" w:hAnsiTheme="minorHAnsi"/>
          <w:sz w:val="24"/>
          <w:szCs w:val="24"/>
        </w:rPr>
        <w:t>estados financieros anuales en los cuales la entidad hace u</w:t>
      </w:r>
      <w:r>
        <w:rPr>
          <w:rFonts w:asciiTheme="minorHAnsi" w:hAnsiTheme="minorHAnsi"/>
          <w:sz w:val="24"/>
          <w:szCs w:val="24"/>
        </w:rPr>
        <w:t xml:space="preserve">na declaración, explícita y sin </w:t>
      </w:r>
      <w:r w:rsidRPr="001068BA">
        <w:rPr>
          <w:rFonts w:asciiTheme="minorHAnsi" w:hAnsiTheme="minorHAnsi"/>
          <w:sz w:val="24"/>
          <w:szCs w:val="24"/>
        </w:rPr>
        <w:t xml:space="preserve">reservas, contenida en esos estados financieros, del cumplimiento con la </w:t>
      </w:r>
      <w:r>
        <w:rPr>
          <w:rFonts w:asciiTheme="minorHAnsi" w:hAnsiTheme="minorHAnsi"/>
          <w:sz w:val="24"/>
          <w:szCs w:val="24"/>
        </w:rPr>
        <w:t xml:space="preserve">NIIF para las </w:t>
      </w:r>
      <w:r w:rsidRPr="001068BA">
        <w:rPr>
          <w:rFonts w:asciiTheme="minorHAnsi" w:hAnsiTheme="minorHAnsi"/>
          <w:sz w:val="24"/>
          <w:szCs w:val="24"/>
        </w:rPr>
        <w:t>PYMES. Los estados financ</w:t>
      </w:r>
      <w:r>
        <w:rPr>
          <w:rFonts w:asciiTheme="minorHAnsi" w:hAnsiTheme="minorHAnsi"/>
          <w:sz w:val="24"/>
          <w:szCs w:val="24"/>
        </w:rPr>
        <w:t xml:space="preserve">ieros preparados de acuerdo con </w:t>
      </w:r>
      <w:r w:rsidRPr="001068BA">
        <w:rPr>
          <w:rFonts w:asciiTheme="minorHAnsi" w:hAnsiTheme="minorHAnsi"/>
          <w:sz w:val="24"/>
          <w:szCs w:val="24"/>
        </w:rPr>
        <w:t>esta NIIF son los primeros est</w:t>
      </w:r>
      <w:r>
        <w:rPr>
          <w:rFonts w:asciiTheme="minorHAnsi" w:hAnsiTheme="minorHAnsi"/>
          <w:sz w:val="24"/>
          <w:szCs w:val="24"/>
        </w:rPr>
        <w:t>ados financieros de una entidad.</w:t>
      </w:r>
    </w:p>
    <w:p w:rsidR="001068BA" w:rsidRDefault="001068BA" w:rsidP="001068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66A5D" w:rsidRDefault="00666A5D" w:rsidP="00666A5D">
      <w:pPr>
        <w:pStyle w:val="Prrafodelista"/>
        <w:numPr>
          <w:ilvl w:val="0"/>
          <w:numId w:val="8"/>
        </w:num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Procedimientos para prep</w:t>
      </w:r>
      <w:r w:rsidRPr="00666A5D">
        <w:rPr>
          <w:rFonts w:asciiTheme="minorHAnsi" w:hAnsiTheme="minorHAnsi"/>
          <w:b/>
          <w:sz w:val="24"/>
          <w:szCs w:val="24"/>
        </w:rPr>
        <w:t>arar los estados financ</w:t>
      </w:r>
      <w:r>
        <w:rPr>
          <w:rFonts w:asciiTheme="minorHAnsi" w:hAnsiTheme="minorHAnsi"/>
          <w:b/>
          <w:sz w:val="24"/>
          <w:szCs w:val="24"/>
        </w:rPr>
        <w:t>ieros en la fecha de transición</w:t>
      </w:r>
    </w:p>
    <w:p w:rsidR="00666A5D" w:rsidRPr="00762AEE" w:rsidRDefault="00666A5D" w:rsidP="00762AEE">
      <w:pPr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4795D" w:rsidRPr="00D624C9" w:rsidRDefault="00D624C9" w:rsidP="00D624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24795D" w:rsidRPr="00D624C9">
        <w:rPr>
          <w:rFonts w:asciiTheme="minorHAnsi" w:hAnsiTheme="minorHAnsi"/>
          <w:sz w:val="24"/>
          <w:szCs w:val="24"/>
        </w:rPr>
        <w:t>na entidad deberá, en su</w:t>
      </w:r>
      <w:r>
        <w:rPr>
          <w:rFonts w:asciiTheme="minorHAnsi" w:hAnsiTheme="minorHAnsi"/>
          <w:sz w:val="24"/>
          <w:szCs w:val="24"/>
        </w:rPr>
        <w:t xml:space="preserve"> </w:t>
      </w:r>
      <w:r w:rsidR="0024795D" w:rsidRPr="00D624C9">
        <w:rPr>
          <w:rFonts w:asciiTheme="minorHAnsi" w:hAnsiTheme="minorHAnsi"/>
          <w:sz w:val="24"/>
          <w:szCs w:val="24"/>
        </w:rPr>
        <w:t xml:space="preserve">estado de situación financiera de apertura de la fecha de transición a la </w:t>
      </w:r>
      <w:r>
        <w:rPr>
          <w:rFonts w:asciiTheme="minorHAnsi" w:hAnsiTheme="minorHAnsi"/>
          <w:sz w:val="24"/>
          <w:szCs w:val="24"/>
        </w:rPr>
        <w:t xml:space="preserve">NIIF para </w:t>
      </w:r>
      <w:r w:rsidR="0024795D" w:rsidRPr="00D624C9">
        <w:rPr>
          <w:rFonts w:asciiTheme="minorHAnsi" w:hAnsiTheme="minorHAnsi"/>
          <w:sz w:val="24"/>
          <w:szCs w:val="24"/>
        </w:rPr>
        <w:t>las PYMES (es decir, al comienzo del primer periodo presentado):</w:t>
      </w:r>
    </w:p>
    <w:p w:rsidR="0024795D" w:rsidRPr="00CA70DD" w:rsidRDefault="0024795D" w:rsidP="00CA70D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inorHAnsi" w:hAnsiTheme="minorHAnsi"/>
          <w:sz w:val="24"/>
          <w:szCs w:val="24"/>
        </w:rPr>
      </w:pPr>
      <w:r w:rsidRPr="00CA70DD">
        <w:rPr>
          <w:rFonts w:asciiTheme="minorHAnsi" w:hAnsiTheme="minorHAnsi"/>
          <w:sz w:val="24"/>
          <w:szCs w:val="24"/>
        </w:rPr>
        <w:t>reconocer todos los activos y pasivos cuyo reconocimiento sea requerido</w:t>
      </w:r>
      <w:r w:rsidR="00CA70DD">
        <w:rPr>
          <w:rFonts w:asciiTheme="minorHAnsi" w:hAnsiTheme="minorHAnsi"/>
          <w:sz w:val="24"/>
          <w:szCs w:val="24"/>
        </w:rPr>
        <w:t xml:space="preserve"> </w:t>
      </w:r>
      <w:r w:rsidRPr="00CA70DD">
        <w:rPr>
          <w:rFonts w:asciiTheme="minorHAnsi" w:hAnsiTheme="minorHAnsi"/>
          <w:sz w:val="24"/>
          <w:szCs w:val="24"/>
        </w:rPr>
        <w:t>por la NIIF para las PYMES;</w:t>
      </w:r>
    </w:p>
    <w:p w:rsidR="0024795D" w:rsidRPr="00CA70DD" w:rsidRDefault="0024795D" w:rsidP="00CA70D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inorHAnsi" w:hAnsiTheme="minorHAnsi"/>
          <w:sz w:val="24"/>
          <w:szCs w:val="24"/>
        </w:rPr>
      </w:pPr>
      <w:r w:rsidRPr="00CA70DD">
        <w:rPr>
          <w:rFonts w:asciiTheme="minorHAnsi" w:hAnsiTheme="minorHAnsi"/>
          <w:sz w:val="24"/>
          <w:szCs w:val="24"/>
        </w:rPr>
        <w:t>no reconocer partidas como activos o pasivos si esta NIIF no permite dicho</w:t>
      </w:r>
      <w:r w:rsidR="00CA70DD">
        <w:rPr>
          <w:rFonts w:asciiTheme="minorHAnsi" w:hAnsiTheme="minorHAnsi"/>
          <w:sz w:val="24"/>
          <w:szCs w:val="24"/>
        </w:rPr>
        <w:t xml:space="preserve"> </w:t>
      </w:r>
      <w:r w:rsidRPr="00CA70DD">
        <w:rPr>
          <w:rFonts w:asciiTheme="minorHAnsi" w:hAnsiTheme="minorHAnsi"/>
          <w:sz w:val="24"/>
          <w:szCs w:val="24"/>
        </w:rPr>
        <w:t>reconocimiento;</w:t>
      </w:r>
    </w:p>
    <w:p w:rsidR="0024795D" w:rsidRPr="00CA70DD" w:rsidRDefault="0024795D" w:rsidP="00CA70D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inorHAnsi" w:hAnsiTheme="minorHAnsi"/>
          <w:sz w:val="24"/>
          <w:szCs w:val="24"/>
        </w:rPr>
      </w:pPr>
      <w:r w:rsidRPr="00CA70DD">
        <w:rPr>
          <w:rFonts w:asciiTheme="minorHAnsi" w:hAnsiTheme="minorHAnsi"/>
          <w:sz w:val="24"/>
          <w:szCs w:val="24"/>
        </w:rPr>
        <w:t>reclasificar las partidas que reconoció, según su marco de información</w:t>
      </w:r>
      <w:r w:rsidR="00CA70DD">
        <w:rPr>
          <w:rFonts w:asciiTheme="minorHAnsi" w:hAnsiTheme="minorHAnsi"/>
          <w:sz w:val="24"/>
          <w:szCs w:val="24"/>
        </w:rPr>
        <w:t xml:space="preserve"> </w:t>
      </w:r>
      <w:r w:rsidRPr="00CA70DD">
        <w:rPr>
          <w:rFonts w:asciiTheme="minorHAnsi" w:hAnsiTheme="minorHAnsi"/>
          <w:sz w:val="24"/>
          <w:szCs w:val="24"/>
        </w:rPr>
        <w:t>financiera anterior, como un tipo de activo, pasivo o componente de</w:t>
      </w:r>
      <w:r w:rsidR="00CA70DD">
        <w:rPr>
          <w:rFonts w:asciiTheme="minorHAnsi" w:hAnsiTheme="minorHAnsi"/>
          <w:sz w:val="24"/>
          <w:szCs w:val="24"/>
        </w:rPr>
        <w:t xml:space="preserve"> </w:t>
      </w:r>
      <w:r w:rsidRPr="00CA70DD">
        <w:rPr>
          <w:rFonts w:asciiTheme="minorHAnsi" w:hAnsiTheme="minorHAnsi"/>
          <w:sz w:val="24"/>
          <w:szCs w:val="24"/>
        </w:rPr>
        <w:t>patrimonio, pero que son de un tipo diferente de acuerdo con esta NIIF; y</w:t>
      </w:r>
    </w:p>
    <w:p w:rsidR="0024795D" w:rsidRPr="00CA70DD" w:rsidRDefault="0024795D" w:rsidP="00CA70D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Theme="minorHAnsi" w:hAnsiTheme="minorHAnsi"/>
          <w:sz w:val="24"/>
          <w:szCs w:val="24"/>
        </w:rPr>
      </w:pPr>
      <w:r w:rsidRPr="00CA70DD">
        <w:rPr>
          <w:rFonts w:asciiTheme="minorHAnsi" w:hAnsiTheme="minorHAnsi"/>
          <w:sz w:val="24"/>
          <w:szCs w:val="24"/>
        </w:rPr>
        <w:t>aplicar esta NIIF al medir todos los activos y pasivos reconocidos.</w:t>
      </w:r>
    </w:p>
    <w:p w:rsidR="00CA70DD" w:rsidRDefault="00CA70DD" w:rsidP="00CA70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D781B" w:rsidRDefault="008D781B" w:rsidP="00D624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Los siguientes conceptos están excluidos de las reglas mencionadas anteriormente:</w:t>
      </w:r>
    </w:p>
    <w:p w:rsidR="008D781B" w:rsidRDefault="008D781B" w:rsidP="00D624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24795D" w:rsidRPr="000D2BB5" w:rsidRDefault="0024795D" w:rsidP="002F410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0D2BB5">
        <w:rPr>
          <w:rFonts w:asciiTheme="minorHAnsi" w:hAnsiTheme="minorHAnsi"/>
          <w:b/>
          <w:sz w:val="24"/>
          <w:szCs w:val="24"/>
          <w:u w:val="single"/>
        </w:rPr>
        <w:t>Las políticas contables</w:t>
      </w:r>
      <w:r w:rsidRPr="000D2BB5">
        <w:rPr>
          <w:rFonts w:asciiTheme="minorHAnsi" w:hAnsiTheme="minorHAnsi"/>
          <w:sz w:val="24"/>
          <w:szCs w:val="24"/>
        </w:rPr>
        <w:t xml:space="preserve"> que una entidad utilice en su estado de situación</w:t>
      </w:r>
      <w:r w:rsidR="008D781B" w:rsidRPr="000D2BB5">
        <w:rPr>
          <w:rFonts w:asciiTheme="minorHAnsi" w:hAnsiTheme="minorHAnsi"/>
          <w:sz w:val="24"/>
          <w:szCs w:val="24"/>
        </w:rPr>
        <w:t xml:space="preserve"> </w:t>
      </w:r>
      <w:r w:rsidRPr="000D2BB5">
        <w:rPr>
          <w:rFonts w:asciiTheme="minorHAnsi" w:hAnsiTheme="minorHAnsi"/>
          <w:sz w:val="24"/>
          <w:szCs w:val="24"/>
        </w:rPr>
        <w:t>financiera de apertura conforme a esta NIIF pueden diferir de las que aplicaba en</w:t>
      </w:r>
      <w:r w:rsidR="008D781B" w:rsidRPr="000D2BB5">
        <w:rPr>
          <w:rFonts w:asciiTheme="minorHAnsi" w:hAnsiTheme="minorHAnsi"/>
          <w:sz w:val="24"/>
          <w:szCs w:val="24"/>
        </w:rPr>
        <w:t xml:space="preserve"> </w:t>
      </w:r>
      <w:r w:rsidRPr="000D2BB5">
        <w:rPr>
          <w:rFonts w:asciiTheme="minorHAnsi" w:hAnsiTheme="minorHAnsi"/>
          <w:sz w:val="24"/>
          <w:szCs w:val="24"/>
        </w:rPr>
        <w:t>la misma fecha utilizando su marco de información financiera anterior. Los</w:t>
      </w:r>
      <w:r w:rsidR="008D781B" w:rsidRPr="000D2BB5">
        <w:rPr>
          <w:rFonts w:asciiTheme="minorHAnsi" w:hAnsiTheme="minorHAnsi"/>
          <w:sz w:val="24"/>
          <w:szCs w:val="24"/>
        </w:rPr>
        <w:t xml:space="preserve"> </w:t>
      </w:r>
      <w:r w:rsidRPr="000D2BB5">
        <w:rPr>
          <w:rFonts w:asciiTheme="minorHAnsi" w:hAnsiTheme="minorHAnsi"/>
          <w:sz w:val="24"/>
          <w:szCs w:val="24"/>
        </w:rPr>
        <w:t>ajustes resultantes surgen de transacciones, otros sucesos o condiciones</w:t>
      </w:r>
      <w:r w:rsidR="000D2BB5" w:rsidRPr="000D2BB5">
        <w:rPr>
          <w:rFonts w:asciiTheme="minorHAnsi" w:hAnsiTheme="minorHAnsi"/>
          <w:sz w:val="24"/>
          <w:szCs w:val="24"/>
        </w:rPr>
        <w:t xml:space="preserve"> </w:t>
      </w:r>
      <w:r w:rsidRPr="000D2BB5">
        <w:rPr>
          <w:rFonts w:asciiTheme="minorHAnsi" w:hAnsiTheme="minorHAnsi"/>
          <w:sz w:val="24"/>
          <w:szCs w:val="24"/>
        </w:rPr>
        <w:t>anteriores a la fecha de transición a esta NIIF. Por tanto, una entidad reconocerá</w:t>
      </w:r>
      <w:r w:rsidR="000D2BB5" w:rsidRPr="000D2BB5">
        <w:rPr>
          <w:rFonts w:asciiTheme="minorHAnsi" w:hAnsiTheme="minorHAnsi"/>
          <w:sz w:val="24"/>
          <w:szCs w:val="24"/>
        </w:rPr>
        <w:t xml:space="preserve"> </w:t>
      </w:r>
      <w:r w:rsidRPr="000D2BB5">
        <w:rPr>
          <w:rFonts w:asciiTheme="minorHAnsi" w:hAnsiTheme="minorHAnsi"/>
          <w:sz w:val="24"/>
          <w:szCs w:val="24"/>
        </w:rPr>
        <w:t>tales ajustes, en la fecha de transición a esta NIIF, directamente en las ganancias</w:t>
      </w:r>
      <w:r w:rsidR="000D2BB5" w:rsidRPr="000D2BB5">
        <w:rPr>
          <w:rFonts w:asciiTheme="minorHAnsi" w:hAnsiTheme="minorHAnsi"/>
          <w:sz w:val="24"/>
          <w:szCs w:val="24"/>
        </w:rPr>
        <w:t xml:space="preserve"> </w:t>
      </w:r>
      <w:r w:rsidRPr="000D2BB5">
        <w:rPr>
          <w:rFonts w:asciiTheme="minorHAnsi" w:hAnsiTheme="minorHAnsi"/>
          <w:sz w:val="24"/>
          <w:szCs w:val="24"/>
        </w:rPr>
        <w:t>acumuladas (o, si fuera apropiado, en otra categoría dentro del patrimonio).</w:t>
      </w:r>
      <w:r w:rsidR="000D2BB5" w:rsidRPr="000D2BB5">
        <w:rPr>
          <w:rFonts w:asciiTheme="minorHAnsi" w:hAnsiTheme="minorHAnsi"/>
          <w:sz w:val="24"/>
          <w:szCs w:val="24"/>
        </w:rPr>
        <w:t xml:space="preserve"> </w:t>
      </w:r>
      <w:r w:rsidRPr="000D2BB5">
        <w:rPr>
          <w:rFonts w:asciiTheme="minorHAnsi" w:hAnsiTheme="minorHAnsi"/>
          <w:sz w:val="24"/>
          <w:szCs w:val="24"/>
        </w:rPr>
        <w:t>En la adopción por primera vez de esta NIIF, una entidad no cambiará</w:t>
      </w:r>
      <w:r w:rsidR="000D2BB5" w:rsidRPr="000D2BB5">
        <w:rPr>
          <w:rFonts w:asciiTheme="minorHAnsi" w:hAnsiTheme="minorHAnsi"/>
          <w:sz w:val="24"/>
          <w:szCs w:val="24"/>
        </w:rPr>
        <w:t xml:space="preserve"> </w:t>
      </w:r>
      <w:r w:rsidRPr="000D2BB5">
        <w:rPr>
          <w:rFonts w:asciiTheme="minorHAnsi" w:hAnsiTheme="minorHAnsi"/>
          <w:sz w:val="24"/>
          <w:szCs w:val="24"/>
        </w:rPr>
        <w:t>retroactivamente la contabilidad llevada a cabo según su marco de información</w:t>
      </w:r>
      <w:r w:rsidR="000D2BB5">
        <w:rPr>
          <w:rFonts w:asciiTheme="minorHAnsi" w:hAnsiTheme="minorHAnsi"/>
          <w:sz w:val="24"/>
          <w:szCs w:val="24"/>
        </w:rPr>
        <w:t xml:space="preserve"> </w:t>
      </w:r>
      <w:r w:rsidRPr="000D2BB5">
        <w:rPr>
          <w:rFonts w:asciiTheme="minorHAnsi" w:hAnsiTheme="minorHAnsi"/>
          <w:sz w:val="24"/>
          <w:szCs w:val="24"/>
        </w:rPr>
        <w:t>financiera anterior para ninguna de las siguientes transacciones:</w:t>
      </w:r>
    </w:p>
    <w:p w:rsidR="000D2BB5" w:rsidRDefault="0024795D" w:rsidP="000D2BB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D2BB5">
        <w:rPr>
          <w:rFonts w:asciiTheme="minorHAnsi" w:hAnsiTheme="minorHAnsi"/>
          <w:sz w:val="24"/>
          <w:szCs w:val="24"/>
        </w:rPr>
        <w:t>Baja en cuentas de activos financi</w:t>
      </w:r>
      <w:r w:rsidR="000D2BB5">
        <w:rPr>
          <w:rFonts w:asciiTheme="minorHAnsi" w:hAnsiTheme="minorHAnsi"/>
          <w:sz w:val="24"/>
          <w:szCs w:val="24"/>
        </w:rPr>
        <w:t>eros y pasivos financieros.</w:t>
      </w:r>
    </w:p>
    <w:p w:rsidR="000D2BB5" w:rsidRDefault="0024795D" w:rsidP="000D2BB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D2BB5">
        <w:rPr>
          <w:rFonts w:asciiTheme="minorHAnsi" w:hAnsiTheme="minorHAnsi"/>
          <w:sz w:val="24"/>
          <w:szCs w:val="24"/>
        </w:rPr>
        <w:t xml:space="preserve">Contabilidad de coberturas. </w:t>
      </w:r>
    </w:p>
    <w:p w:rsidR="000D2BB5" w:rsidRDefault="0024795D" w:rsidP="000D2BB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>Estimaciones contables.</w:t>
      </w:r>
    </w:p>
    <w:p w:rsidR="000D2BB5" w:rsidRDefault="0024795D" w:rsidP="000D2BB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D2BB5">
        <w:rPr>
          <w:rFonts w:asciiTheme="minorHAnsi" w:hAnsiTheme="minorHAnsi"/>
          <w:sz w:val="24"/>
          <w:szCs w:val="24"/>
        </w:rPr>
        <w:t>Operaciones discontinuadas.</w:t>
      </w:r>
    </w:p>
    <w:p w:rsidR="0024795D" w:rsidRPr="000D2BB5" w:rsidRDefault="0024795D" w:rsidP="000D2BB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D2BB5">
        <w:rPr>
          <w:rFonts w:asciiTheme="minorHAnsi" w:hAnsiTheme="minorHAnsi"/>
          <w:sz w:val="24"/>
          <w:szCs w:val="24"/>
        </w:rPr>
        <w:t>Medición de participaciones no controladoras</w:t>
      </w:r>
    </w:p>
    <w:p w:rsidR="009C57F4" w:rsidRDefault="0024795D" w:rsidP="009C5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>Una entidad podrá utilizar una o más de las siguientes exenciones al preparar sus</w:t>
      </w:r>
      <w:r w:rsidR="000D2BB5">
        <w:rPr>
          <w:rFonts w:asciiTheme="minorHAnsi" w:hAnsiTheme="minorHAnsi"/>
          <w:sz w:val="24"/>
          <w:szCs w:val="24"/>
        </w:rPr>
        <w:t xml:space="preserve"> </w:t>
      </w:r>
      <w:r w:rsidRPr="00D624C9">
        <w:rPr>
          <w:rFonts w:asciiTheme="minorHAnsi" w:hAnsiTheme="minorHAnsi"/>
          <w:sz w:val="24"/>
          <w:szCs w:val="24"/>
        </w:rPr>
        <w:t>primeros estados financieros conforme a esta NIIF: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C57F4">
        <w:rPr>
          <w:rFonts w:asciiTheme="minorHAnsi" w:hAnsiTheme="minorHAnsi"/>
          <w:sz w:val="24"/>
          <w:szCs w:val="24"/>
        </w:rPr>
        <w:t xml:space="preserve">Combinaciones de negocios. 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 xml:space="preserve">Transacciones con pagos basados en acciones. 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 xml:space="preserve">Valor </w:t>
      </w:r>
      <w:r w:rsidR="009C57F4">
        <w:rPr>
          <w:rFonts w:asciiTheme="minorHAnsi" w:hAnsiTheme="minorHAnsi"/>
          <w:sz w:val="24"/>
          <w:szCs w:val="24"/>
        </w:rPr>
        <w:t>razonable como costo atribuido.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 xml:space="preserve">Revaluación como costo atribuido. 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 xml:space="preserve">Diferencias de conversión acumuladas. 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 xml:space="preserve">Estados financieros separados. 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 xml:space="preserve">Instrumentos financieros compuestos. 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 xml:space="preserve">Impuestos diferidos. 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>Acue</w:t>
      </w:r>
      <w:r w:rsidR="009C57F4">
        <w:rPr>
          <w:rFonts w:asciiTheme="minorHAnsi" w:hAnsiTheme="minorHAnsi"/>
          <w:sz w:val="24"/>
          <w:szCs w:val="24"/>
        </w:rPr>
        <w:t>rdos de concesión de servicios.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 xml:space="preserve">Actividades de extracción. 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>Acuerdos que contienen un arrendamiento</w:t>
      </w:r>
    </w:p>
    <w:p w:rsidR="009C57F4" w:rsidRDefault="0024795D" w:rsidP="009C57F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624C9">
        <w:rPr>
          <w:rFonts w:asciiTheme="minorHAnsi" w:hAnsiTheme="minorHAnsi"/>
          <w:sz w:val="24"/>
          <w:szCs w:val="24"/>
        </w:rPr>
        <w:t>Pasivos por retiro de servicio incluidos en el costo de propiedades,</w:t>
      </w:r>
      <w:r w:rsidR="009C57F4">
        <w:rPr>
          <w:rFonts w:asciiTheme="minorHAnsi" w:hAnsiTheme="minorHAnsi"/>
          <w:sz w:val="24"/>
          <w:szCs w:val="24"/>
        </w:rPr>
        <w:t xml:space="preserve"> </w:t>
      </w:r>
      <w:r w:rsidR="00720B06">
        <w:rPr>
          <w:rFonts w:asciiTheme="minorHAnsi" w:hAnsiTheme="minorHAnsi"/>
          <w:sz w:val="24"/>
          <w:szCs w:val="24"/>
        </w:rPr>
        <w:t>planta y equipo.</w:t>
      </w:r>
    </w:p>
    <w:p w:rsidR="00720B06" w:rsidRDefault="00720B06" w:rsidP="00720B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20B06" w:rsidRDefault="00720B06" w:rsidP="00720B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20B06" w:rsidRPr="009C57F4" w:rsidRDefault="00720B06" w:rsidP="00720B0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6E4453" w:rsidRDefault="006E445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F24DC" w:rsidRPr="00D624C9" w:rsidRDefault="000D0EEE" w:rsidP="006E4453">
      <w:pPr>
        <w:spacing w:after="0" w:line="240" w:lineRule="auto"/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D624C9">
        <w:rPr>
          <w:rFonts w:asciiTheme="minorHAnsi" w:hAnsiTheme="minorHAnsi"/>
          <w:b/>
          <w:sz w:val="24"/>
          <w:szCs w:val="24"/>
        </w:rPr>
        <w:lastRenderedPageBreak/>
        <w:t>Información Adicional</w:t>
      </w:r>
    </w:p>
    <w:p w:rsidR="00BA1154" w:rsidRPr="00BA1154" w:rsidRDefault="00BA1154" w:rsidP="00D45189">
      <w:pPr>
        <w:spacing w:after="0" w:line="240" w:lineRule="auto"/>
        <w:jc w:val="center"/>
        <w:rPr>
          <w:rFonts w:asciiTheme="minorHAnsi" w:hAnsiTheme="minorHAnsi"/>
          <w:i/>
          <w:szCs w:val="24"/>
        </w:rPr>
      </w:pPr>
      <w:r w:rsidRPr="00BA1154">
        <w:rPr>
          <w:rFonts w:asciiTheme="minorHAnsi" w:hAnsiTheme="minorHAnsi"/>
          <w:i/>
          <w:szCs w:val="24"/>
        </w:rPr>
        <w:t>(Cifras expresadas en miles de pesos colombianos)</w:t>
      </w:r>
    </w:p>
    <w:p w:rsidR="00241E9A" w:rsidRDefault="00241E9A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D0EEE" w:rsidRDefault="000D0EEE" w:rsidP="00D4518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continuación se presenta la información adicional que acompaña al Balance General de la Compañía </w:t>
      </w:r>
      <w:r w:rsidR="00E540DC">
        <w:rPr>
          <w:rFonts w:asciiTheme="minorHAnsi" w:hAnsiTheme="minorHAnsi"/>
          <w:sz w:val="24"/>
          <w:szCs w:val="24"/>
        </w:rPr>
        <w:t>CETA</w:t>
      </w:r>
      <w:r w:rsidR="009632FD">
        <w:rPr>
          <w:rFonts w:asciiTheme="minorHAnsi" w:hAnsiTheme="minorHAnsi"/>
          <w:sz w:val="24"/>
          <w:szCs w:val="24"/>
        </w:rPr>
        <w:t xml:space="preserve"> S.A. a 31 de diciembre de 2014</w:t>
      </w:r>
      <w:r>
        <w:rPr>
          <w:rFonts w:asciiTheme="minorHAnsi" w:hAnsiTheme="minorHAnsi"/>
          <w:sz w:val="24"/>
          <w:szCs w:val="24"/>
        </w:rPr>
        <w:t>, para efectos de la elaboración del Estado de Situación Financiera de Apertura</w:t>
      </w:r>
      <w:r w:rsidR="009632FD">
        <w:rPr>
          <w:rFonts w:asciiTheme="minorHAnsi" w:hAnsiTheme="minorHAnsi"/>
          <w:sz w:val="24"/>
          <w:szCs w:val="24"/>
        </w:rPr>
        <w:t xml:space="preserve">, </w:t>
      </w:r>
      <w:r w:rsidR="00E540DC">
        <w:rPr>
          <w:rFonts w:asciiTheme="minorHAnsi" w:hAnsiTheme="minorHAnsi"/>
          <w:sz w:val="24"/>
          <w:szCs w:val="24"/>
        </w:rPr>
        <w:t>ya que pertenece a las</w:t>
      </w:r>
      <w:r w:rsidR="009632FD">
        <w:rPr>
          <w:rFonts w:asciiTheme="minorHAnsi" w:hAnsiTheme="minorHAnsi"/>
          <w:sz w:val="24"/>
          <w:szCs w:val="24"/>
        </w:rPr>
        <w:t xml:space="preserve"> empresas del grupo N° 2</w:t>
      </w:r>
      <w:r w:rsidR="00E540DC">
        <w:rPr>
          <w:rFonts w:asciiTheme="minorHAnsi" w:hAnsiTheme="minorHAnsi"/>
          <w:sz w:val="24"/>
          <w:szCs w:val="24"/>
        </w:rPr>
        <w:t>, de acuerdo con lo establecido en el Decreto 3022 de 2013, expedido el 27 de diciembre de 2013:</w:t>
      </w:r>
    </w:p>
    <w:p w:rsidR="0028540F" w:rsidRDefault="0028540F" w:rsidP="00D4518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60D5" w:rsidRPr="00C96830" w:rsidRDefault="0094507C" w:rsidP="00D45189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 w:rsidRPr="00C96830">
        <w:rPr>
          <w:rFonts w:asciiTheme="minorHAnsi" w:hAnsiTheme="minorHAnsi"/>
          <w:b/>
          <w:color w:val="3366FF"/>
          <w:sz w:val="24"/>
          <w:szCs w:val="24"/>
          <w:u w:val="single"/>
        </w:rPr>
        <w:t>Disponible</w:t>
      </w:r>
    </w:p>
    <w:p w:rsidR="00931BC9" w:rsidRPr="008E0BA4" w:rsidRDefault="00931BC9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640"/>
        <w:gridCol w:w="1380"/>
        <w:gridCol w:w="340"/>
      </w:tblGrid>
      <w:tr w:rsidR="0027758A" w:rsidTr="000D2273">
        <w:trPr>
          <w:trHeight w:val="2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Disponible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C7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cs="Calibri"/>
                <w:b/>
                <w:bCs/>
                <w:color w:val="000000"/>
                <w:lang w:val="es-ES"/>
              </w:rPr>
              <w:t>6.00</w:t>
            </w:r>
            <w:r w:rsidR="0027758A">
              <w:rPr>
                <w:rFonts w:cs="Calibri"/>
                <w:b/>
                <w:bCs/>
                <w:color w:val="000000"/>
                <w:lang w:val="es-E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27758A" w:rsidTr="000D2273">
        <w:trPr>
          <w:trHeight w:val="2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Caja menor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950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7758A" w:rsidTr="000D2273">
        <w:trPr>
          <w:trHeight w:val="2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 w:rsidP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Banco de Colombia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C7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2.65</w:t>
            </w:r>
            <w:r w:rsidR="0027758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27758A" w:rsidTr="000D2273">
        <w:trPr>
          <w:trHeight w:val="2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val="es-ES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Banco de Bogotá</w:t>
            </w:r>
          </w:p>
        </w:tc>
        <w:tc>
          <w:tcPr>
            <w:tcW w:w="13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2.400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758A" w:rsidRDefault="0027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0D2273" w:rsidRDefault="000D2273" w:rsidP="00D45189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</w:p>
    <w:p w:rsidR="00AB60D5" w:rsidRPr="008E0BA4" w:rsidRDefault="0094507C" w:rsidP="00D45189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31BC9">
        <w:rPr>
          <w:rFonts w:asciiTheme="minorHAnsi" w:hAnsiTheme="minorHAnsi"/>
        </w:rPr>
        <w:t xml:space="preserve">El </w:t>
      </w:r>
      <w:r w:rsidR="0028540F">
        <w:rPr>
          <w:rFonts w:asciiTheme="minorHAnsi" w:hAnsiTheme="minorHAnsi"/>
        </w:rPr>
        <w:t xml:space="preserve">saldo del </w:t>
      </w:r>
      <w:r w:rsidRPr="00931BC9">
        <w:rPr>
          <w:rFonts w:asciiTheme="minorHAnsi" w:hAnsiTheme="minorHAnsi"/>
        </w:rPr>
        <w:t xml:space="preserve">Banco </w:t>
      </w:r>
      <w:r w:rsidR="0027758A">
        <w:rPr>
          <w:rFonts w:asciiTheme="minorHAnsi" w:hAnsiTheme="minorHAnsi"/>
        </w:rPr>
        <w:t>de Colombia</w:t>
      </w:r>
      <w:r w:rsidRPr="00931BC9">
        <w:rPr>
          <w:rFonts w:asciiTheme="minorHAnsi" w:hAnsiTheme="minorHAnsi"/>
        </w:rPr>
        <w:t xml:space="preserve"> Incluye el valor de </w:t>
      </w:r>
      <w:r w:rsidR="0028540F">
        <w:rPr>
          <w:rFonts w:asciiTheme="minorHAnsi" w:hAnsiTheme="minorHAnsi"/>
        </w:rPr>
        <w:t>$</w:t>
      </w:r>
      <w:r w:rsidRPr="00931BC9">
        <w:rPr>
          <w:rFonts w:asciiTheme="minorHAnsi" w:hAnsiTheme="minorHAnsi"/>
        </w:rPr>
        <w:t>1</w:t>
      </w:r>
      <w:r w:rsidR="00F36A56" w:rsidRPr="00931BC9">
        <w:rPr>
          <w:rFonts w:asciiTheme="minorHAnsi" w:hAnsiTheme="minorHAnsi"/>
        </w:rPr>
        <w:t>.</w:t>
      </w:r>
      <w:r w:rsidR="009632FD">
        <w:rPr>
          <w:rFonts w:asciiTheme="minorHAnsi" w:hAnsiTheme="minorHAnsi"/>
        </w:rPr>
        <w:t>600</w:t>
      </w:r>
      <w:r w:rsidR="00AB60D5" w:rsidRPr="00931BC9">
        <w:rPr>
          <w:rFonts w:asciiTheme="minorHAnsi" w:hAnsiTheme="minorHAnsi"/>
        </w:rPr>
        <w:t xml:space="preserve"> </w:t>
      </w:r>
      <w:r w:rsidRPr="00931BC9">
        <w:rPr>
          <w:rFonts w:asciiTheme="minorHAnsi" w:hAnsiTheme="minorHAnsi"/>
        </w:rPr>
        <w:t xml:space="preserve">que se encuentra </w:t>
      </w:r>
      <w:r w:rsidR="00AB60D5" w:rsidRPr="00931BC9">
        <w:rPr>
          <w:rFonts w:asciiTheme="minorHAnsi" w:hAnsiTheme="minorHAnsi"/>
        </w:rPr>
        <w:t>embargado por el juzgado</w:t>
      </w:r>
      <w:r w:rsidR="009632FD">
        <w:rPr>
          <w:rFonts w:asciiTheme="minorHAnsi" w:hAnsiTheme="minorHAnsi"/>
        </w:rPr>
        <w:t xml:space="preserve"> 5</w:t>
      </w:r>
      <w:r w:rsidR="0028540F">
        <w:rPr>
          <w:rFonts w:asciiTheme="minorHAnsi" w:hAnsiTheme="minorHAnsi"/>
        </w:rPr>
        <w:t>º</w:t>
      </w:r>
      <w:r w:rsidRPr="00931BC9">
        <w:rPr>
          <w:rFonts w:asciiTheme="minorHAnsi" w:hAnsiTheme="minorHAnsi"/>
        </w:rPr>
        <w:t xml:space="preserve"> laboral del </w:t>
      </w:r>
      <w:r w:rsidR="0028540F">
        <w:rPr>
          <w:rFonts w:asciiTheme="minorHAnsi" w:hAnsiTheme="minorHAnsi"/>
        </w:rPr>
        <w:t>circuito</w:t>
      </w:r>
      <w:r w:rsidRPr="00931BC9">
        <w:rPr>
          <w:rFonts w:asciiTheme="minorHAnsi" w:hAnsiTheme="minorHAnsi"/>
        </w:rPr>
        <w:t xml:space="preserve"> </w:t>
      </w:r>
      <w:r w:rsidR="00AB60D5" w:rsidRPr="00931BC9">
        <w:rPr>
          <w:rFonts w:asciiTheme="minorHAnsi" w:hAnsiTheme="minorHAnsi"/>
        </w:rPr>
        <w:t xml:space="preserve">de </w:t>
      </w:r>
      <w:r w:rsidR="009632FD">
        <w:rPr>
          <w:rFonts w:asciiTheme="minorHAnsi" w:hAnsiTheme="minorHAnsi"/>
        </w:rPr>
        <w:t>Medellín</w:t>
      </w:r>
      <w:r w:rsidR="00AB60D5" w:rsidRPr="00931BC9">
        <w:rPr>
          <w:rFonts w:asciiTheme="minorHAnsi" w:hAnsiTheme="minorHAnsi"/>
        </w:rPr>
        <w:t>.</w:t>
      </w:r>
      <w:r w:rsidRPr="00931BC9">
        <w:rPr>
          <w:rFonts w:asciiTheme="minorHAnsi" w:hAnsiTheme="minorHAnsi"/>
        </w:rPr>
        <w:t xml:space="preserve"> El levantamie</w:t>
      </w:r>
      <w:r w:rsidR="00B66CD2" w:rsidRPr="00931BC9">
        <w:rPr>
          <w:rFonts w:asciiTheme="minorHAnsi" w:hAnsiTheme="minorHAnsi"/>
        </w:rPr>
        <w:t xml:space="preserve">nto del embargo se espera </w:t>
      </w:r>
      <w:r w:rsidRPr="00931BC9">
        <w:rPr>
          <w:rFonts w:asciiTheme="minorHAnsi" w:hAnsiTheme="minorHAnsi"/>
        </w:rPr>
        <w:t>realiza</w:t>
      </w:r>
      <w:r w:rsidR="00B66CD2" w:rsidRPr="00931BC9">
        <w:rPr>
          <w:rFonts w:asciiTheme="minorHAnsi" w:hAnsiTheme="minorHAnsi"/>
        </w:rPr>
        <w:t>r</w:t>
      </w:r>
      <w:r w:rsidRPr="00931BC9">
        <w:rPr>
          <w:rFonts w:asciiTheme="minorHAnsi" w:hAnsiTheme="minorHAnsi"/>
        </w:rPr>
        <w:t xml:space="preserve"> dentro de </w:t>
      </w:r>
      <w:r w:rsidR="00DD6F91">
        <w:rPr>
          <w:rFonts w:asciiTheme="minorHAnsi" w:hAnsiTheme="minorHAnsi"/>
        </w:rPr>
        <w:t>los 6</w:t>
      </w:r>
      <w:r w:rsidRPr="00931BC9">
        <w:rPr>
          <w:rFonts w:asciiTheme="minorHAnsi" w:hAnsiTheme="minorHAnsi"/>
        </w:rPr>
        <w:t xml:space="preserve"> meses</w:t>
      </w:r>
      <w:r w:rsidR="00DD6F91">
        <w:rPr>
          <w:rFonts w:asciiTheme="minorHAnsi" w:hAnsiTheme="minorHAnsi"/>
        </w:rPr>
        <w:t xml:space="preserve"> siguientes</w:t>
      </w:r>
      <w:r w:rsidR="0027758A">
        <w:rPr>
          <w:rFonts w:asciiTheme="minorHAnsi" w:hAnsiTheme="minorHAnsi"/>
        </w:rPr>
        <w:t xml:space="preserve"> al corte del ejercicio</w:t>
      </w:r>
      <w:r w:rsidRPr="00931BC9">
        <w:rPr>
          <w:rFonts w:asciiTheme="minorHAnsi" w:hAnsiTheme="minorHAnsi"/>
        </w:rPr>
        <w:t>.</w:t>
      </w:r>
    </w:p>
    <w:p w:rsidR="009C097F" w:rsidRPr="00F268C6" w:rsidRDefault="009C097F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D76C1" w:rsidRPr="00F268C6" w:rsidRDefault="00CD76C1" w:rsidP="00CD76C1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 w:rsidRPr="00F268C6">
        <w:rPr>
          <w:rFonts w:asciiTheme="minorHAnsi" w:hAnsiTheme="minorHAnsi"/>
          <w:b/>
          <w:color w:val="3366FF"/>
          <w:sz w:val="24"/>
          <w:szCs w:val="24"/>
          <w:u w:val="single"/>
        </w:rPr>
        <w:t>Inversiones Permanentes</w:t>
      </w:r>
    </w:p>
    <w:p w:rsidR="00CD76C1" w:rsidRPr="00F268C6" w:rsidRDefault="00CD76C1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D76C1" w:rsidRDefault="00CD76C1" w:rsidP="00CD76C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268C6">
        <w:rPr>
          <w:rFonts w:asciiTheme="minorHAnsi" w:hAnsiTheme="minorHAnsi"/>
          <w:sz w:val="24"/>
          <w:szCs w:val="24"/>
        </w:rPr>
        <w:t>La Compañía posee una</w:t>
      </w:r>
      <w:r w:rsidR="00B26DA9">
        <w:rPr>
          <w:rFonts w:asciiTheme="minorHAnsi" w:hAnsiTheme="minorHAnsi"/>
          <w:sz w:val="24"/>
          <w:szCs w:val="24"/>
        </w:rPr>
        <w:t xml:space="preserve"> inversión en</w:t>
      </w:r>
      <w:r w:rsidRPr="00F268C6">
        <w:rPr>
          <w:rFonts w:asciiTheme="minorHAnsi" w:hAnsiTheme="minorHAnsi"/>
          <w:sz w:val="24"/>
          <w:szCs w:val="24"/>
        </w:rPr>
        <w:t xml:space="preserve"> </w:t>
      </w:r>
      <w:r w:rsidR="00B26DA9">
        <w:rPr>
          <w:rFonts w:asciiTheme="minorHAnsi" w:hAnsiTheme="minorHAnsi"/>
          <w:sz w:val="24"/>
          <w:szCs w:val="24"/>
        </w:rPr>
        <w:t xml:space="preserve">una </w:t>
      </w:r>
      <w:r w:rsidRPr="00F268C6">
        <w:rPr>
          <w:rFonts w:asciiTheme="minorHAnsi" w:hAnsiTheme="minorHAnsi"/>
          <w:sz w:val="24"/>
          <w:szCs w:val="24"/>
        </w:rPr>
        <w:t>subordinada</w:t>
      </w:r>
      <w:r w:rsidR="00B26DA9">
        <w:rPr>
          <w:rFonts w:asciiTheme="minorHAnsi" w:hAnsiTheme="minorHAnsi"/>
          <w:sz w:val="24"/>
          <w:szCs w:val="24"/>
        </w:rPr>
        <w:t xml:space="preserve"> (Alfa S. A.)</w:t>
      </w:r>
      <w:r w:rsidRPr="00F268C6">
        <w:rPr>
          <w:rFonts w:asciiTheme="minorHAnsi" w:hAnsiTheme="minorHAnsi"/>
          <w:sz w:val="24"/>
          <w:szCs w:val="24"/>
        </w:rPr>
        <w:t>, ad</w:t>
      </w:r>
      <w:r w:rsidR="00F268C6" w:rsidRPr="00F268C6">
        <w:rPr>
          <w:rFonts w:asciiTheme="minorHAnsi" w:hAnsiTheme="minorHAnsi"/>
          <w:sz w:val="24"/>
          <w:szCs w:val="24"/>
        </w:rPr>
        <w:t xml:space="preserve">quirida </w:t>
      </w:r>
      <w:r w:rsidR="00E53306">
        <w:rPr>
          <w:rFonts w:asciiTheme="minorHAnsi" w:hAnsiTheme="minorHAnsi"/>
          <w:sz w:val="24"/>
          <w:szCs w:val="24"/>
        </w:rPr>
        <w:t>en</w:t>
      </w:r>
      <w:r w:rsidRPr="00F268C6">
        <w:rPr>
          <w:rFonts w:asciiTheme="minorHAnsi" w:hAnsiTheme="minorHAnsi"/>
          <w:sz w:val="24"/>
          <w:szCs w:val="24"/>
        </w:rPr>
        <w:t xml:space="preserve"> 20</w:t>
      </w:r>
      <w:r w:rsidR="00E53306">
        <w:rPr>
          <w:rFonts w:asciiTheme="minorHAnsi" w:hAnsiTheme="minorHAnsi"/>
          <w:sz w:val="24"/>
          <w:szCs w:val="24"/>
        </w:rPr>
        <w:t>12</w:t>
      </w:r>
      <w:r w:rsidRPr="00F268C6">
        <w:rPr>
          <w:rFonts w:asciiTheme="minorHAnsi" w:hAnsiTheme="minorHAnsi"/>
          <w:sz w:val="24"/>
          <w:szCs w:val="24"/>
        </w:rPr>
        <w:t xml:space="preserve">. </w:t>
      </w:r>
      <w:r w:rsidR="00B26DA9">
        <w:rPr>
          <w:rFonts w:asciiTheme="minorHAnsi" w:hAnsiTheme="minorHAnsi"/>
          <w:sz w:val="24"/>
          <w:szCs w:val="24"/>
        </w:rPr>
        <w:t>Bajo normas locales, se mide</w:t>
      </w:r>
      <w:r w:rsidRPr="00F268C6">
        <w:rPr>
          <w:rFonts w:asciiTheme="minorHAnsi" w:hAnsiTheme="minorHAnsi"/>
          <w:sz w:val="24"/>
          <w:szCs w:val="24"/>
        </w:rPr>
        <w:t xml:space="preserve"> posteriormente al cierre contable anual, al método de participación</w:t>
      </w:r>
      <w:r w:rsidR="00E53306">
        <w:rPr>
          <w:rFonts w:asciiTheme="minorHAnsi" w:hAnsiTheme="minorHAnsi"/>
          <w:sz w:val="24"/>
          <w:szCs w:val="24"/>
        </w:rPr>
        <w:t xml:space="preserve"> patrimonial.</w:t>
      </w:r>
      <w:r w:rsidR="0017103A">
        <w:rPr>
          <w:rFonts w:asciiTheme="minorHAnsi" w:hAnsiTheme="minorHAnsi"/>
          <w:sz w:val="24"/>
          <w:szCs w:val="24"/>
        </w:rPr>
        <w:t xml:space="preserve"> Los saldos al 31 de diciembre de 2013, eran:</w:t>
      </w:r>
    </w:p>
    <w:p w:rsidR="0017103A" w:rsidRDefault="0017103A" w:rsidP="00CD76C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977"/>
        <w:gridCol w:w="1985"/>
      </w:tblGrid>
      <w:tr w:rsidR="0017103A" w:rsidTr="00D408D6">
        <w:tc>
          <w:tcPr>
            <w:tcW w:w="2977" w:type="dxa"/>
          </w:tcPr>
          <w:p w:rsidR="0017103A" w:rsidRDefault="0017103A" w:rsidP="00CD76C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Número de Acciones</w:t>
            </w:r>
          </w:p>
        </w:tc>
        <w:tc>
          <w:tcPr>
            <w:tcW w:w="1985" w:type="dxa"/>
          </w:tcPr>
          <w:p w:rsidR="0017103A" w:rsidRDefault="00D408D6" w:rsidP="00D408D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17103A" w:rsidTr="00D408D6">
        <w:tc>
          <w:tcPr>
            <w:tcW w:w="2977" w:type="dxa"/>
          </w:tcPr>
          <w:p w:rsidR="00D408D6" w:rsidRDefault="00D408D6" w:rsidP="00CD76C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Valor Nominal (En Pesos)</w:t>
            </w:r>
          </w:p>
        </w:tc>
        <w:tc>
          <w:tcPr>
            <w:tcW w:w="1985" w:type="dxa"/>
          </w:tcPr>
          <w:p w:rsidR="0017103A" w:rsidRDefault="00D408D6" w:rsidP="00D408D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$2,500</w:t>
            </w:r>
          </w:p>
        </w:tc>
      </w:tr>
    </w:tbl>
    <w:p w:rsidR="0017103A" w:rsidRDefault="0017103A" w:rsidP="00CD76C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395"/>
        <w:gridCol w:w="1275"/>
      </w:tblGrid>
      <w:tr w:rsidR="00D408D6" w:rsidTr="00D408D6">
        <w:tc>
          <w:tcPr>
            <w:tcW w:w="4395" w:type="dxa"/>
          </w:tcPr>
          <w:p w:rsidR="00D408D6" w:rsidRDefault="00D408D6" w:rsidP="00CD76C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Costo</w:t>
            </w:r>
          </w:p>
        </w:tc>
        <w:tc>
          <w:tcPr>
            <w:tcW w:w="1275" w:type="dxa"/>
          </w:tcPr>
          <w:p w:rsidR="00D408D6" w:rsidRDefault="00D408D6" w:rsidP="00D408D6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1,250</w:t>
            </w:r>
          </w:p>
        </w:tc>
      </w:tr>
      <w:tr w:rsidR="00D408D6" w:rsidTr="00D408D6">
        <w:tc>
          <w:tcPr>
            <w:tcW w:w="4395" w:type="dxa"/>
          </w:tcPr>
          <w:p w:rsidR="00D408D6" w:rsidRDefault="00D408D6" w:rsidP="00CD76C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Ajustes por Inflación</w:t>
            </w:r>
          </w:p>
        </w:tc>
        <w:tc>
          <w:tcPr>
            <w:tcW w:w="1275" w:type="dxa"/>
          </w:tcPr>
          <w:p w:rsidR="00D408D6" w:rsidRDefault="00D408D6" w:rsidP="00D408D6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</w:tr>
      <w:tr w:rsidR="00D408D6" w:rsidTr="00D408D6">
        <w:tc>
          <w:tcPr>
            <w:tcW w:w="4395" w:type="dxa"/>
          </w:tcPr>
          <w:p w:rsidR="00D408D6" w:rsidRDefault="00D408D6" w:rsidP="00CD76C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408D6">
              <w:rPr>
                <w:rFonts w:asciiTheme="minorHAnsi" w:hAnsiTheme="minorHAnsi"/>
                <w:sz w:val="24"/>
                <w:szCs w:val="24"/>
              </w:rPr>
              <w:t>Método de participación (Resultados)</w:t>
            </w:r>
          </w:p>
        </w:tc>
        <w:tc>
          <w:tcPr>
            <w:tcW w:w="1275" w:type="dxa"/>
          </w:tcPr>
          <w:p w:rsidR="00D408D6" w:rsidRDefault="00D408D6" w:rsidP="00D408D6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  <w:tr w:rsidR="00D408D6" w:rsidTr="00D408D6">
        <w:tc>
          <w:tcPr>
            <w:tcW w:w="4395" w:type="dxa"/>
          </w:tcPr>
          <w:p w:rsidR="00D408D6" w:rsidRDefault="00D408D6" w:rsidP="00CD76C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408D6">
              <w:rPr>
                <w:rFonts w:asciiTheme="minorHAnsi" w:hAnsiTheme="minorHAnsi"/>
                <w:sz w:val="24"/>
                <w:szCs w:val="24"/>
              </w:rPr>
              <w:t>Método de participación (Patrimonio)</w:t>
            </w:r>
          </w:p>
        </w:tc>
        <w:tc>
          <w:tcPr>
            <w:tcW w:w="1275" w:type="dxa"/>
          </w:tcPr>
          <w:p w:rsidR="00D408D6" w:rsidRDefault="00D408D6" w:rsidP="00D408D6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170</w:t>
            </w:r>
          </w:p>
        </w:tc>
      </w:tr>
      <w:tr w:rsidR="00D408D6" w:rsidTr="00D408D6">
        <w:tc>
          <w:tcPr>
            <w:tcW w:w="4395" w:type="dxa"/>
          </w:tcPr>
          <w:p w:rsidR="00D408D6" w:rsidRDefault="00D408D6" w:rsidP="00CD76C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 Inversión</w:t>
            </w:r>
          </w:p>
        </w:tc>
        <w:tc>
          <w:tcPr>
            <w:tcW w:w="1275" w:type="dxa"/>
          </w:tcPr>
          <w:p w:rsidR="00D408D6" w:rsidRDefault="00D408D6" w:rsidP="00D408D6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2,000</w:t>
            </w:r>
          </w:p>
        </w:tc>
      </w:tr>
    </w:tbl>
    <w:p w:rsidR="00D408D6" w:rsidRDefault="00D408D6" w:rsidP="00CD76C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47220" w:rsidRDefault="00547220" w:rsidP="00CD76C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compañía no está obligada a presentar estados financieros consolidados.</w:t>
      </w:r>
    </w:p>
    <w:p w:rsidR="00547220" w:rsidRDefault="00547220" w:rsidP="00CD76C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3553" w:rsidRDefault="00373553" w:rsidP="00373553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 w:rsidRPr="00C96830">
        <w:rPr>
          <w:rFonts w:asciiTheme="minorHAnsi" w:hAnsiTheme="minorHAnsi"/>
          <w:b/>
          <w:color w:val="3366FF"/>
          <w:sz w:val="24"/>
          <w:szCs w:val="24"/>
          <w:u w:val="single"/>
        </w:rPr>
        <w:t xml:space="preserve">Inversiones </w:t>
      </w: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–</w:t>
      </w:r>
      <w:r w:rsidRPr="00C96830">
        <w:rPr>
          <w:rFonts w:asciiTheme="minorHAnsi" w:hAnsiTheme="minorHAnsi"/>
          <w:b/>
          <w:color w:val="3366FF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Bonos</w:t>
      </w:r>
    </w:p>
    <w:p w:rsidR="00373553" w:rsidRDefault="00373553" w:rsidP="00373553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</w:p>
    <w:p w:rsidR="00373553" w:rsidRPr="00714CC9" w:rsidRDefault="00373553" w:rsidP="003735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 1 de enero de 2012, la entidad adquiere un bono por $8.000 </w:t>
      </w:r>
      <w:r w:rsidRPr="00714CC9">
        <w:rPr>
          <w:rFonts w:asciiTheme="minorHAnsi" w:hAnsiTheme="minorHAnsi"/>
          <w:sz w:val="24"/>
          <w:szCs w:val="24"/>
        </w:rPr>
        <w:t xml:space="preserve"> incurriendo en un costo de transacción de </w:t>
      </w:r>
      <w:r>
        <w:rPr>
          <w:rFonts w:asciiTheme="minorHAnsi" w:hAnsiTheme="minorHAnsi"/>
          <w:sz w:val="24"/>
          <w:szCs w:val="24"/>
        </w:rPr>
        <w:t xml:space="preserve">$150. Se recibe </w:t>
      </w:r>
      <w:r w:rsidRPr="00714CC9">
        <w:rPr>
          <w:rFonts w:asciiTheme="minorHAnsi" w:hAnsiTheme="minorHAnsi"/>
          <w:sz w:val="24"/>
          <w:szCs w:val="24"/>
        </w:rPr>
        <w:t xml:space="preserve">un interés de </w:t>
      </w:r>
      <w:r>
        <w:rPr>
          <w:rFonts w:asciiTheme="minorHAnsi" w:hAnsiTheme="minorHAnsi"/>
          <w:sz w:val="24"/>
          <w:szCs w:val="24"/>
        </w:rPr>
        <w:t xml:space="preserve">$400 </w:t>
      </w:r>
      <w:r w:rsidRPr="00714CC9">
        <w:rPr>
          <w:rFonts w:asciiTheme="minorHAnsi" w:hAnsiTheme="minorHAnsi"/>
          <w:sz w:val="24"/>
          <w:szCs w:val="24"/>
        </w:rPr>
        <w:t xml:space="preserve">anualmente, al final del periodo, a lo largo </w:t>
      </w:r>
      <w:r w:rsidRPr="00714CC9">
        <w:rPr>
          <w:rFonts w:asciiTheme="minorHAnsi" w:hAnsiTheme="minorHAnsi"/>
          <w:sz w:val="24"/>
          <w:szCs w:val="24"/>
        </w:rPr>
        <w:lastRenderedPageBreak/>
        <w:t>de los próximos</w:t>
      </w:r>
      <w:r>
        <w:rPr>
          <w:rFonts w:asciiTheme="minorHAnsi" w:hAnsiTheme="minorHAnsi"/>
          <w:sz w:val="24"/>
          <w:szCs w:val="24"/>
        </w:rPr>
        <w:t xml:space="preserve"> </w:t>
      </w:r>
      <w:r w:rsidRPr="00714CC9">
        <w:rPr>
          <w:rFonts w:asciiTheme="minorHAnsi" w:hAnsiTheme="minorHAnsi"/>
          <w:sz w:val="24"/>
          <w:szCs w:val="24"/>
        </w:rPr>
        <w:t>cinco a</w:t>
      </w:r>
      <w:r>
        <w:rPr>
          <w:rFonts w:asciiTheme="minorHAnsi" w:hAnsiTheme="minorHAnsi"/>
          <w:sz w:val="24"/>
          <w:szCs w:val="24"/>
        </w:rPr>
        <w:t>ños (del 31 de diciembre de 2012 al 31 de diciembre de 2016</w:t>
      </w:r>
      <w:r w:rsidRPr="00714CC9">
        <w:rPr>
          <w:rFonts w:asciiTheme="minorHAnsi" w:hAnsiTheme="minorHAnsi"/>
          <w:sz w:val="24"/>
          <w:szCs w:val="24"/>
        </w:rPr>
        <w:t>). A 31 de</w:t>
      </w:r>
      <w:r>
        <w:rPr>
          <w:rFonts w:asciiTheme="minorHAnsi" w:hAnsiTheme="minorHAnsi"/>
          <w:sz w:val="24"/>
          <w:szCs w:val="24"/>
        </w:rPr>
        <w:t xml:space="preserve"> diciembre de 2016</w:t>
      </w:r>
      <w:r w:rsidRPr="00714CC9">
        <w:rPr>
          <w:rFonts w:asciiTheme="minorHAnsi" w:hAnsiTheme="minorHAnsi"/>
          <w:sz w:val="24"/>
          <w:szCs w:val="24"/>
        </w:rPr>
        <w:t xml:space="preserve">, el bono tiene un rescate obligatorio de </w:t>
      </w:r>
      <w:r>
        <w:rPr>
          <w:rFonts w:asciiTheme="minorHAnsi" w:hAnsiTheme="minorHAnsi"/>
          <w:sz w:val="24"/>
          <w:szCs w:val="24"/>
        </w:rPr>
        <w:t>$11.100.</w:t>
      </w:r>
    </w:p>
    <w:p w:rsidR="00373553" w:rsidRDefault="00373553" w:rsidP="00CD76C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D5DB3" w:rsidRDefault="00422B97" w:rsidP="00D45189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 w:rsidRPr="00C96830">
        <w:rPr>
          <w:rFonts w:asciiTheme="minorHAnsi" w:hAnsiTheme="minorHAnsi"/>
          <w:b/>
          <w:color w:val="3366FF"/>
          <w:sz w:val="24"/>
          <w:szCs w:val="24"/>
          <w:u w:val="single"/>
        </w:rPr>
        <w:t xml:space="preserve">Inversiones - </w:t>
      </w:r>
      <w:r w:rsidR="0024009E" w:rsidRPr="00C96830">
        <w:rPr>
          <w:rFonts w:asciiTheme="minorHAnsi" w:hAnsiTheme="minorHAnsi"/>
          <w:b/>
          <w:color w:val="3366FF"/>
          <w:sz w:val="24"/>
          <w:szCs w:val="24"/>
          <w:u w:val="single"/>
        </w:rPr>
        <w:t>Certificado de Depósito a Término</w:t>
      </w:r>
      <w:r w:rsidR="00DD0B1E" w:rsidRPr="00C96830">
        <w:rPr>
          <w:rFonts w:asciiTheme="minorHAnsi" w:hAnsiTheme="minorHAnsi"/>
          <w:b/>
          <w:color w:val="3366FF"/>
          <w:sz w:val="24"/>
          <w:szCs w:val="24"/>
          <w:u w:val="single"/>
        </w:rPr>
        <w:t xml:space="preserve"> </w:t>
      </w:r>
    </w:p>
    <w:p w:rsidR="002D5DB3" w:rsidRDefault="002D5DB3" w:rsidP="00D45189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</w:p>
    <w:p w:rsidR="0024009E" w:rsidRPr="008E0BA4" w:rsidRDefault="000D2273" w:rsidP="00D4518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 detalle de los C</w:t>
      </w:r>
      <w:r w:rsidR="0024009E" w:rsidRPr="008E0BA4">
        <w:rPr>
          <w:rFonts w:asciiTheme="minorHAnsi" w:hAnsiTheme="minorHAnsi"/>
          <w:sz w:val="24"/>
          <w:szCs w:val="24"/>
        </w:rPr>
        <w:t xml:space="preserve">ertificados de </w:t>
      </w:r>
      <w:r>
        <w:rPr>
          <w:rFonts w:asciiTheme="minorHAnsi" w:hAnsiTheme="minorHAnsi"/>
          <w:sz w:val="24"/>
          <w:szCs w:val="24"/>
        </w:rPr>
        <w:t>D</w:t>
      </w:r>
      <w:r w:rsidR="0024009E" w:rsidRPr="008E0BA4">
        <w:rPr>
          <w:rFonts w:asciiTheme="minorHAnsi" w:hAnsiTheme="minorHAnsi"/>
          <w:sz w:val="24"/>
          <w:szCs w:val="24"/>
        </w:rPr>
        <w:t xml:space="preserve">epósito a </w:t>
      </w:r>
      <w:r>
        <w:rPr>
          <w:rFonts w:asciiTheme="minorHAnsi" w:hAnsiTheme="minorHAnsi"/>
          <w:sz w:val="24"/>
          <w:szCs w:val="24"/>
        </w:rPr>
        <w:t>T</w:t>
      </w:r>
      <w:r w:rsidR="0024009E" w:rsidRPr="008E0BA4">
        <w:rPr>
          <w:rFonts w:asciiTheme="minorHAnsi" w:hAnsiTheme="minorHAnsi"/>
          <w:sz w:val="24"/>
          <w:szCs w:val="24"/>
        </w:rPr>
        <w:t xml:space="preserve">érmino </w:t>
      </w:r>
      <w:r>
        <w:rPr>
          <w:rFonts w:asciiTheme="minorHAnsi" w:hAnsiTheme="minorHAnsi"/>
          <w:sz w:val="24"/>
          <w:szCs w:val="24"/>
        </w:rPr>
        <w:t>(CDT) es el siguiente</w:t>
      </w:r>
      <w:r w:rsidR="0024009E" w:rsidRPr="008E0BA4">
        <w:rPr>
          <w:rFonts w:asciiTheme="minorHAnsi" w:hAnsiTheme="minorHAnsi"/>
          <w:sz w:val="24"/>
          <w:szCs w:val="24"/>
        </w:rPr>
        <w:t>:</w:t>
      </w:r>
    </w:p>
    <w:p w:rsidR="000D2273" w:rsidRDefault="000D2273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93DA1" w:rsidRDefault="002D5DB3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Fecha de emisión</w:t>
      </w:r>
      <w:r>
        <w:rPr>
          <w:rFonts w:asciiTheme="minorHAnsi" w:hAnsiTheme="minorHAnsi"/>
          <w:sz w:val="24"/>
          <w:szCs w:val="24"/>
        </w:rPr>
        <w:tab/>
        <w:t>30/6</w:t>
      </w:r>
      <w:r w:rsidR="00953CA7">
        <w:rPr>
          <w:rFonts w:asciiTheme="minorHAnsi" w:hAnsiTheme="minorHAnsi"/>
          <w:sz w:val="24"/>
          <w:szCs w:val="24"/>
        </w:rPr>
        <w:t>/2013</w:t>
      </w:r>
    </w:p>
    <w:p w:rsidR="00D93DA1" w:rsidRDefault="00953CA7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Fecha de vencimiento</w:t>
      </w:r>
      <w:r>
        <w:rPr>
          <w:rFonts w:asciiTheme="minorHAnsi" w:hAnsiTheme="minorHAnsi"/>
          <w:sz w:val="24"/>
          <w:szCs w:val="24"/>
        </w:rPr>
        <w:tab/>
        <w:t>30/6/2017</w:t>
      </w:r>
    </w:p>
    <w:p w:rsidR="0024009E" w:rsidRPr="008E0BA4" w:rsidRDefault="0024009E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>Costo:</w:t>
      </w:r>
      <w:r w:rsidRPr="008E0BA4">
        <w:rPr>
          <w:rFonts w:asciiTheme="minorHAnsi" w:hAnsiTheme="minorHAnsi"/>
          <w:sz w:val="24"/>
          <w:szCs w:val="24"/>
        </w:rPr>
        <w:tab/>
      </w:r>
      <w:r w:rsidR="008F19CF">
        <w:rPr>
          <w:rFonts w:asciiTheme="minorHAnsi" w:hAnsiTheme="minorHAnsi"/>
          <w:sz w:val="24"/>
          <w:szCs w:val="24"/>
        </w:rPr>
        <w:t>$</w:t>
      </w:r>
      <w:r w:rsidR="00953CA7">
        <w:rPr>
          <w:rFonts w:asciiTheme="minorHAnsi" w:hAnsiTheme="minorHAnsi"/>
          <w:sz w:val="24"/>
          <w:szCs w:val="24"/>
        </w:rPr>
        <w:t>5.4</w:t>
      </w:r>
      <w:r w:rsidRPr="008E0BA4">
        <w:rPr>
          <w:rFonts w:asciiTheme="minorHAnsi" w:hAnsiTheme="minorHAnsi"/>
          <w:sz w:val="24"/>
          <w:szCs w:val="24"/>
        </w:rPr>
        <w:t xml:space="preserve">00 </w:t>
      </w:r>
    </w:p>
    <w:p w:rsidR="0024009E" w:rsidRPr="008E0BA4" w:rsidRDefault="0024009E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 xml:space="preserve">Costos incurridos en la transacción </w:t>
      </w:r>
      <w:r w:rsidRPr="008E0BA4">
        <w:rPr>
          <w:rFonts w:asciiTheme="minorHAnsi" w:hAnsiTheme="minorHAnsi"/>
          <w:sz w:val="24"/>
          <w:szCs w:val="24"/>
        </w:rPr>
        <w:tab/>
        <w:t xml:space="preserve"> </w:t>
      </w:r>
      <w:r w:rsidR="008F19CF">
        <w:rPr>
          <w:rFonts w:asciiTheme="minorHAnsi" w:hAnsiTheme="minorHAnsi"/>
          <w:sz w:val="24"/>
          <w:szCs w:val="24"/>
        </w:rPr>
        <w:t>$</w:t>
      </w:r>
      <w:r w:rsidR="00953CA7">
        <w:rPr>
          <w:rFonts w:asciiTheme="minorHAnsi" w:hAnsiTheme="minorHAnsi"/>
          <w:sz w:val="24"/>
          <w:szCs w:val="24"/>
        </w:rPr>
        <w:t>2</w:t>
      </w:r>
      <w:r w:rsidRPr="008E0BA4">
        <w:rPr>
          <w:rFonts w:asciiTheme="minorHAnsi" w:hAnsiTheme="minorHAnsi"/>
          <w:sz w:val="24"/>
          <w:szCs w:val="24"/>
        </w:rPr>
        <w:t xml:space="preserve">00 </w:t>
      </w:r>
    </w:p>
    <w:p w:rsidR="0024009E" w:rsidRPr="008E0BA4" w:rsidRDefault="0024009E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 xml:space="preserve">Total costo inicial o flujo inicial </w:t>
      </w:r>
      <w:r w:rsidRPr="008E0BA4">
        <w:rPr>
          <w:rFonts w:asciiTheme="minorHAnsi" w:hAnsiTheme="minorHAnsi"/>
          <w:sz w:val="24"/>
          <w:szCs w:val="24"/>
        </w:rPr>
        <w:tab/>
        <w:t xml:space="preserve"> </w:t>
      </w:r>
      <w:r w:rsidR="008F19CF">
        <w:rPr>
          <w:rFonts w:asciiTheme="minorHAnsi" w:hAnsiTheme="minorHAnsi"/>
          <w:sz w:val="24"/>
          <w:szCs w:val="24"/>
        </w:rPr>
        <w:t>$</w:t>
      </w:r>
      <w:r w:rsidR="00953CA7">
        <w:rPr>
          <w:rFonts w:asciiTheme="minorHAnsi" w:hAnsiTheme="minorHAnsi"/>
          <w:sz w:val="24"/>
          <w:szCs w:val="24"/>
        </w:rPr>
        <w:t>5.6</w:t>
      </w:r>
      <w:r w:rsidRPr="008E0BA4">
        <w:rPr>
          <w:rFonts w:asciiTheme="minorHAnsi" w:hAnsiTheme="minorHAnsi"/>
          <w:sz w:val="24"/>
          <w:szCs w:val="24"/>
        </w:rPr>
        <w:t xml:space="preserve">00 </w:t>
      </w:r>
    </w:p>
    <w:p w:rsidR="0024009E" w:rsidRPr="008E0BA4" w:rsidRDefault="0024009E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>Fecha de compra</w:t>
      </w:r>
      <w:r w:rsidR="00F6315F" w:rsidRPr="008E0BA4">
        <w:rPr>
          <w:rFonts w:asciiTheme="minorHAnsi" w:hAnsiTheme="minorHAnsi"/>
          <w:sz w:val="24"/>
          <w:szCs w:val="24"/>
        </w:rPr>
        <w:t>:</w:t>
      </w:r>
      <w:r w:rsidR="004A58C7">
        <w:rPr>
          <w:rFonts w:asciiTheme="minorHAnsi" w:hAnsiTheme="minorHAnsi"/>
          <w:sz w:val="24"/>
          <w:szCs w:val="24"/>
        </w:rPr>
        <w:t xml:space="preserve"> </w:t>
      </w:r>
      <w:r w:rsidR="004A58C7">
        <w:rPr>
          <w:rFonts w:asciiTheme="minorHAnsi" w:hAnsiTheme="minorHAnsi"/>
          <w:sz w:val="24"/>
          <w:szCs w:val="24"/>
        </w:rPr>
        <w:tab/>
        <w:t>1/</w:t>
      </w:r>
      <w:r w:rsidR="00AA5399" w:rsidRPr="008E0BA4">
        <w:rPr>
          <w:rFonts w:asciiTheme="minorHAnsi" w:hAnsiTheme="minorHAnsi"/>
          <w:sz w:val="24"/>
          <w:szCs w:val="24"/>
        </w:rPr>
        <w:t>2/201</w:t>
      </w:r>
      <w:r w:rsidR="00953CA7">
        <w:rPr>
          <w:rFonts w:asciiTheme="minorHAnsi" w:hAnsiTheme="minorHAnsi"/>
          <w:sz w:val="24"/>
          <w:szCs w:val="24"/>
        </w:rPr>
        <w:t>4</w:t>
      </w:r>
    </w:p>
    <w:p w:rsidR="0024009E" w:rsidRPr="008E0BA4" w:rsidRDefault="00F6315F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 xml:space="preserve">Nominal </w:t>
      </w:r>
      <w:r w:rsidRPr="008E0BA4">
        <w:rPr>
          <w:rFonts w:asciiTheme="minorHAnsi" w:hAnsiTheme="minorHAnsi"/>
          <w:sz w:val="24"/>
          <w:szCs w:val="24"/>
        </w:rPr>
        <w:tab/>
        <w:t xml:space="preserve"> </w:t>
      </w:r>
      <w:r w:rsidR="008F19CF">
        <w:rPr>
          <w:rFonts w:asciiTheme="minorHAnsi" w:hAnsiTheme="minorHAnsi"/>
          <w:sz w:val="24"/>
          <w:szCs w:val="24"/>
        </w:rPr>
        <w:t>$</w:t>
      </w:r>
      <w:r w:rsidR="00953CA7">
        <w:rPr>
          <w:rFonts w:asciiTheme="minorHAnsi" w:hAnsiTheme="minorHAnsi"/>
          <w:sz w:val="24"/>
          <w:szCs w:val="24"/>
        </w:rPr>
        <w:t>5.4</w:t>
      </w:r>
      <w:r w:rsidRPr="008E0BA4">
        <w:rPr>
          <w:rFonts w:asciiTheme="minorHAnsi" w:hAnsiTheme="minorHAnsi"/>
          <w:sz w:val="24"/>
          <w:szCs w:val="24"/>
        </w:rPr>
        <w:t>00</w:t>
      </w:r>
    </w:p>
    <w:p w:rsidR="0024009E" w:rsidRPr="008E0BA4" w:rsidRDefault="0024009E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>Tasa de interés</w:t>
      </w:r>
      <w:r w:rsidR="004A58C7">
        <w:rPr>
          <w:rFonts w:asciiTheme="minorHAnsi" w:hAnsiTheme="minorHAnsi"/>
          <w:sz w:val="24"/>
          <w:szCs w:val="24"/>
        </w:rPr>
        <w:t xml:space="preserve"> EA. AV.</w:t>
      </w:r>
      <w:r w:rsidRPr="008E0BA4">
        <w:rPr>
          <w:rFonts w:asciiTheme="minorHAnsi" w:hAnsiTheme="minorHAnsi"/>
          <w:sz w:val="24"/>
          <w:szCs w:val="24"/>
        </w:rPr>
        <w:t xml:space="preserve"> </w:t>
      </w:r>
      <w:r w:rsidRPr="008E0BA4">
        <w:rPr>
          <w:rFonts w:asciiTheme="minorHAnsi" w:hAnsiTheme="minorHAnsi"/>
          <w:sz w:val="24"/>
          <w:szCs w:val="24"/>
        </w:rPr>
        <w:tab/>
        <w:t>12%</w:t>
      </w:r>
    </w:p>
    <w:p w:rsidR="00AA5399" w:rsidRPr="008E0BA4" w:rsidRDefault="00AA5399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>Vencimiento</w:t>
      </w:r>
      <w:r w:rsidRPr="008E0BA4">
        <w:rPr>
          <w:rFonts w:asciiTheme="minorHAnsi" w:hAnsiTheme="minorHAnsi"/>
          <w:sz w:val="24"/>
          <w:szCs w:val="24"/>
        </w:rPr>
        <w:tab/>
        <w:t>30/</w:t>
      </w:r>
      <w:r w:rsidR="004A58C7">
        <w:rPr>
          <w:rFonts w:asciiTheme="minorHAnsi" w:hAnsiTheme="minorHAnsi"/>
          <w:sz w:val="24"/>
          <w:szCs w:val="24"/>
        </w:rPr>
        <w:t>6</w:t>
      </w:r>
      <w:r w:rsidR="00953CA7">
        <w:rPr>
          <w:rFonts w:asciiTheme="minorHAnsi" w:hAnsiTheme="minorHAnsi"/>
          <w:sz w:val="24"/>
          <w:szCs w:val="24"/>
        </w:rPr>
        <w:t>/2017</w:t>
      </w:r>
    </w:p>
    <w:p w:rsidR="00F6315F" w:rsidRPr="008E0BA4" w:rsidRDefault="00F6315F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D5DB3" w:rsidRPr="00C96830" w:rsidRDefault="002D5DB3" w:rsidP="002D5DB3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 w:rsidRPr="00C96830">
        <w:rPr>
          <w:rFonts w:asciiTheme="minorHAnsi" w:hAnsiTheme="minorHAnsi"/>
          <w:b/>
          <w:color w:val="3366FF"/>
          <w:sz w:val="24"/>
          <w:szCs w:val="24"/>
          <w:u w:val="single"/>
        </w:rPr>
        <w:t>Depósito Fiduciario</w:t>
      </w:r>
    </w:p>
    <w:p w:rsidR="002D5DB3" w:rsidRDefault="002D5DB3" w:rsidP="002D5DB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81C88" w:rsidRPr="008E0BA4" w:rsidRDefault="00296D0C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 xml:space="preserve">El </w:t>
      </w:r>
      <w:r w:rsidR="00146F33">
        <w:rPr>
          <w:rFonts w:asciiTheme="minorHAnsi" w:hAnsiTheme="minorHAnsi"/>
          <w:sz w:val="24"/>
          <w:szCs w:val="24"/>
        </w:rPr>
        <w:t>F</w:t>
      </w:r>
      <w:r w:rsidRPr="008E0BA4">
        <w:rPr>
          <w:rFonts w:asciiTheme="minorHAnsi" w:hAnsiTheme="minorHAnsi"/>
          <w:sz w:val="24"/>
          <w:szCs w:val="24"/>
        </w:rPr>
        <w:t xml:space="preserve">ondo </w:t>
      </w:r>
      <w:r w:rsidR="00146F33">
        <w:rPr>
          <w:rFonts w:asciiTheme="minorHAnsi" w:hAnsiTheme="minorHAnsi"/>
          <w:sz w:val="24"/>
          <w:szCs w:val="24"/>
        </w:rPr>
        <w:t xml:space="preserve">Fiduciario </w:t>
      </w:r>
      <w:r w:rsidRPr="008E0BA4">
        <w:rPr>
          <w:rFonts w:asciiTheme="minorHAnsi" w:hAnsiTheme="minorHAnsi"/>
          <w:sz w:val="24"/>
          <w:szCs w:val="24"/>
        </w:rPr>
        <w:t xml:space="preserve">se encuentra constituido en la Fiduciaria Bogotá en </w:t>
      </w:r>
      <w:r w:rsidR="00146F33">
        <w:rPr>
          <w:rFonts w:asciiTheme="minorHAnsi" w:hAnsiTheme="minorHAnsi"/>
          <w:sz w:val="24"/>
          <w:szCs w:val="24"/>
        </w:rPr>
        <w:t>una</w:t>
      </w:r>
      <w:r w:rsidRPr="008E0BA4">
        <w:rPr>
          <w:rFonts w:asciiTheme="minorHAnsi" w:hAnsiTheme="minorHAnsi"/>
          <w:sz w:val="24"/>
          <w:szCs w:val="24"/>
        </w:rPr>
        <w:t xml:space="preserve"> Cartera Colectiva</w:t>
      </w:r>
      <w:r w:rsidR="00885959">
        <w:rPr>
          <w:rFonts w:asciiTheme="minorHAnsi" w:hAnsiTheme="minorHAnsi"/>
          <w:sz w:val="24"/>
          <w:szCs w:val="24"/>
        </w:rPr>
        <w:t xml:space="preserve"> Sumar</w:t>
      </w:r>
      <w:r w:rsidRPr="008E0BA4">
        <w:rPr>
          <w:rFonts w:asciiTheme="minorHAnsi" w:hAnsiTheme="minorHAnsi"/>
          <w:sz w:val="24"/>
          <w:szCs w:val="24"/>
        </w:rPr>
        <w:t xml:space="preserve">, el </w:t>
      </w:r>
      <w:r w:rsidR="00EA29F6">
        <w:rPr>
          <w:rFonts w:asciiTheme="minorHAnsi" w:hAnsiTheme="minorHAnsi"/>
          <w:sz w:val="24"/>
          <w:szCs w:val="24"/>
        </w:rPr>
        <w:t>detalle es el siguiente</w:t>
      </w:r>
      <w:r w:rsidRPr="008E0BA4">
        <w:rPr>
          <w:rFonts w:asciiTheme="minorHAnsi" w:hAnsiTheme="minorHAnsi"/>
          <w:sz w:val="24"/>
          <w:szCs w:val="24"/>
        </w:rPr>
        <w:t>:</w:t>
      </w:r>
    </w:p>
    <w:p w:rsidR="00296D0C" w:rsidRPr="008E0BA4" w:rsidRDefault="00296D0C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96D0C" w:rsidRPr="008E0BA4" w:rsidRDefault="00146F33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Número de unidades:</w:t>
      </w:r>
      <w:r>
        <w:rPr>
          <w:rFonts w:asciiTheme="minorHAnsi" w:hAnsiTheme="minorHAnsi"/>
          <w:sz w:val="24"/>
          <w:szCs w:val="24"/>
        </w:rPr>
        <w:tab/>
      </w:r>
      <w:r w:rsidR="00A47B12">
        <w:rPr>
          <w:rFonts w:asciiTheme="minorHAnsi" w:hAnsiTheme="minorHAnsi"/>
          <w:sz w:val="24"/>
          <w:szCs w:val="24"/>
        </w:rPr>
        <w:t>125</w:t>
      </w:r>
    </w:p>
    <w:p w:rsidR="00296D0C" w:rsidRPr="008E0BA4" w:rsidRDefault="00146F33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Valor Unidad:</w:t>
      </w:r>
      <w:r>
        <w:rPr>
          <w:rFonts w:asciiTheme="minorHAnsi" w:hAnsiTheme="minorHAnsi"/>
          <w:sz w:val="24"/>
          <w:szCs w:val="24"/>
        </w:rPr>
        <w:tab/>
      </w:r>
      <w:r w:rsidR="00CD7474">
        <w:rPr>
          <w:rFonts w:asciiTheme="minorHAnsi" w:hAnsiTheme="minorHAnsi"/>
          <w:sz w:val="24"/>
          <w:szCs w:val="24"/>
        </w:rPr>
        <w:t>$</w:t>
      </w:r>
      <w:r w:rsidR="00A47B12">
        <w:rPr>
          <w:rFonts w:asciiTheme="minorHAnsi" w:hAnsiTheme="minorHAnsi"/>
          <w:sz w:val="24"/>
          <w:szCs w:val="24"/>
        </w:rPr>
        <w:t>6</w:t>
      </w:r>
      <w:r w:rsidR="00296D0C" w:rsidRPr="008E0BA4">
        <w:rPr>
          <w:rFonts w:asciiTheme="minorHAnsi" w:hAnsiTheme="minorHAnsi"/>
          <w:sz w:val="24"/>
          <w:szCs w:val="24"/>
        </w:rPr>
        <w:t>7</w:t>
      </w:r>
    </w:p>
    <w:p w:rsidR="00146F33" w:rsidRDefault="00BF0B2A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Fecha del extracto:</w:t>
      </w:r>
      <w:r>
        <w:rPr>
          <w:rFonts w:asciiTheme="minorHAnsi" w:hAnsiTheme="minorHAnsi"/>
          <w:sz w:val="24"/>
          <w:szCs w:val="24"/>
        </w:rPr>
        <w:tab/>
        <w:t>31/12/2014</w:t>
      </w:r>
    </w:p>
    <w:p w:rsidR="002E3218" w:rsidRDefault="002E3218" w:rsidP="00D45189">
      <w:pPr>
        <w:tabs>
          <w:tab w:val="right" w:pos="425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70D7C" w:rsidRPr="00670D7C" w:rsidRDefault="00670D7C" w:rsidP="00670D7C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 w:rsidRPr="00670D7C">
        <w:rPr>
          <w:rFonts w:asciiTheme="minorHAnsi" w:hAnsiTheme="minorHAnsi"/>
          <w:b/>
          <w:color w:val="3366FF"/>
          <w:sz w:val="24"/>
          <w:szCs w:val="24"/>
          <w:u w:val="single"/>
        </w:rPr>
        <w:t>Préstamos a Terceros:</w:t>
      </w:r>
    </w:p>
    <w:p w:rsidR="00670D7C" w:rsidRDefault="00670D7C" w:rsidP="00670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s-ES"/>
        </w:rPr>
      </w:pPr>
    </w:p>
    <w:p w:rsidR="00670D7C" w:rsidRPr="005875C0" w:rsidRDefault="00670D7C" w:rsidP="00670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5875C0">
        <w:rPr>
          <w:rFonts w:cs="Calibri"/>
          <w:sz w:val="24"/>
          <w:szCs w:val="24"/>
          <w:lang w:val="es-ES"/>
        </w:rPr>
        <w:t xml:space="preserve">Estos préstamos </w:t>
      </w:r>
      <w:r>
        <w:rPr>
          <w:rFonts w:cs="Calibri"/>
          <w:sz w:val="24"/>
          <w:szCs w:val="24"/>
          <w:lang w:val="es-ES"/>
        </w:rPr>
        <w:t xml:space="preserve">corresponden a recursos entregados a terceros (distintos de clientes) </w:t>
      </w:r>
      <w:r w:rsidRPr="005875C0">
        <w:rPr>
          <w:rFonts w:cs="Calibri"/>
          <w:sz w:val="24"/>
          <w:szCs w:val="24"/>
          <w:lang w:val="es-ES"/>
        </w:rPr>
        <w:t>vencen el 30 de junio del 201</w:t>
      </w:r>
      <w:r>
        <w:rPr>
          <w:rFonts w:cs="Calibri"/>
          <w:sz w:val="24"/>
          <w:szCs w:val="24"/>
          <w:lang w:val="es-ES"/>
        </w:rPr>
        <w:t>5</w:t>
      </w:r>
      <w:r w:rsidRPr="005875C0">
        <w:rPr>
          <w:rFonts w:cs="Calibri"/>
          <w:sz w:val="24"/>
          <w:szCs w:val="24"/>
          <w:lang w:val="es-ES"/>
        </w:rPr>
        <w:t xml:space="preserve"> (se otorgaron e</w:t>
      </w:r>
      <w:r>
        <w:rPr>
          <w:rFonts w:cs="Calibri"/>
          <w:sz w:val="24"/>
          <w:szCs w:val="24"/>
          <w:lang w:val="es-ES"/>
        </w:rPr>
        <w:t>l</w:t>
      </w:r>
      <w:r w:rsidRPr="005875C0">
        <w:rPr>
          <w:rFonts w:cs="Calibri"/>
          <w:sz w:val="24"/>
          <w:szCs w:val="24"/>
          <w:lang w:val="es-ES"/>
        </w:rPr>
        <w:t xml:space="preserve"> </w:t>
      </w:r>
      <w:r>
        <w:rPr>
          <w:rFonts w:cs="Calibri"/>
          <w:sz w:val="24"/>
          <w:szCs w:val="24"/>
          <w:lang w:val="es-ES"/>
        </w:rPr>
        <w:t xml:space="preserve">1º de julio de </w:t>
      </w:r>
      <w:r w:rsidRPr="005875C0">
        <w:rPr>
          <w:rFonts w:cs="Calibri"/>
          <w:sz w:val="24"/>
          <w:szCs w:val="24"/>
          <w:lang w:val="es-ES"/>
        </w:rPr>
        <w:t>201</w:t>
      </w:r>
      <w:r>
        <w:rPr>
          <w:rFonts w:cs="Calibri"/>
          <w:sz w:val="24"/>
          <w:szCs w:val="24"/>
          <w:lang w:val="es-ES"/>
        </w:rPr>
        <w:t>4</w:t>
      </w:r>
      <w:r w:rsidRPr="005875C0">
        <w:rPr>
          <w:rFonts w:cs="Calibri"/>
          <w:sz w:val="24"/>
          <w:szCs w:val="24"/>
          <w:lang w:val="es-ES"/>
        </w:rPr>
        <w:t>). Se cobran intereses anuales del 1% EA AV. Según análisis del mercado, sobre este mismo tipo de préstamos el sector financiero cobra una tasa de interés del 14% EA AV.</w:t>
      </w:r>
    </w:p>
    <w:p w:rsidR="00670D7C" w:rsidRDefault="00670D7C" w:rsidP="00D45189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</w:p>
    <w:p w:rsidR="00B66CD2" w:rsidRPr="00C96830" w:rsidRDefault="00D5063E" w:rsidP="00D45189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 w:rsidRPr="00C96830">
        <w:rPr>
          <w:rFonts w:asciiTheme="minorHAnsi" w:hAnsiTheme="minorHAnsi"/>
          <w:b/>
          <w:color w:val="3366FF"/>
          <w:sz w:val="24"/>
          <w:szCs w:val="24"/>
          <w:u w:val="single"/>
        </w:rPr>
        <w:t>Deudores</w:t>
      </w:r>
      <w:r w:rsidR="00805205" w:rsidRPr="00C96830">
        <w:rPr>
          <w:rFonts w:asciiTheme="minorHAnsi" w:hAnsiTheme="minorHAnsi"/>
          <w:b/>
          <w:color w:val="3366FF"/>
          <w:sz w:val="24"/>
          <w:szCs w:val="24"/>
          <w:u w:val="single"/>
        </w:rPr>
        <w:t>:</w:t>
      </w:r>
    </w:p>
    <w:p w:rsidR="00805205" w:rsidRDefault="00805205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96830" w:rsidRPr="00C96830" w:rsidRDefault="00DD0B1E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E0BA4">
        <w:rPr>
          <w:rFonts w:asciiTheme="minorHAnsi" w:hAnsiTheme="minorHAnsi"/>
          <w:b/>
          <w:sz w:val="24"/>
          <w:szCs w:val="24"/>
          <w:u w:val="single"/>
        </w:rPr>
        <w:t>Clientes:</w:t>
      </w:r>
    </w:p>
    <w:p w:rsidR="007C6A85" w:rsidRPr="007C6A85" w:rsidRDefault="007C6A85" w:rsidP="00D4518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B2BDB" w:rsidRPr="008E0BA4" w:rsidRDefault="007C6A85" w:rsidP="00087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C6A85">
        <w:rPr>
          <w:rFonts w:cs="Calibri"/>
          <w:sz w:val="24"/>
          <w:szCs w:val="24"/>
          <w:lang w:val="es-ES"/>
        </w:rPr>
        <w:t xml:space="preserve">Corresponden a cargos a clientes por ventas realizadas pendientes de pago. En términos generales, la condición acordada con los clientes es el pago a </w:t>
      </w:r>
      <w:r w:rsidR="000872AF">
        <w:rPr>
          <w:rFonts w:cs="Calibri"/>
          <w:sz w:val="24"/>
          <w:szCs w:val="24"/>
          <w:lang w:val="es-ES"/>
        </w:rPr>
        <w:t>menos de 90 días.</w:t>
      </w:r>
    </w:p>
    <w:p w:rsidR="00C96830" w:rsidRPr="00696F6B" w:rsidRDefault="00C96830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696F6B" w:rsidRPr="00696F6B" w:rsidRDefault="00696F6B" w:rsidP="00D45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val="es-ES"/>
        </w:rPr>
      </w:pPr>
      <w:r w:rsidRPr="00696F6B">
        <w:rPr>
          <w:rFonts w:cs="Calibri"/>
          <w:sz w:val="24"/>
          <w:szCs w:val="24"/>
          <w:lang w:val="es-ES"/>
        </w:rPr>
        <w:t>La compañía ha venido realizando su provisión de acuerdo con las normas fiscales.</w:t>
      </w:r>
    </w:p>
    <w:p w:rsidR="00696F6B" w:rsidRPr="00425ECC" w:rsidRDefault="00696F6B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  <w:lang w:val="es-ES"/>
        </w:rPr>
      </w:pPr>
    </w:p>
    <w:p w:rsidR="000B4729" w:rsidRPr="008E0BA4" w:rsidRDefault="000B4729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E0BA4">
        <w:rPr>
          <w:rFonts w:asciiTheme="minorHAnsi" w:hAnsiTheme="minorHAnsi"/>
          <w:b/>
          <w:sz w:val="24"/>
          <w:szCs w:val="24"/>
          <w:u w:val="single"/>
        </w:rPr>
        <w:t>Anticipo</w:t>
      </w:r>
      <w:r w:rsidR="00E42C64">
        <w:rPr>
          <w:rFonts w:asciiTheme="minorHAnsi" w:hAnsiTheme="minorHAnsi"/>
          <w:b/>
          <w:sz w:val="24"/>
          <w:szCs w:val="24"/>
          <w:u w:val="single"/>
        </w:rPr>
        <w:t>s</w:t>
      </w:r>
      <w:r w:rsidRPr="008E0BA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E42C64">
        <w:rPr>
          <w:rFonts w:asciiTheme="minorHAnsi" w:hAnsiTheme="minorHAnsi"/>
          <w:b/>
          <w:sz w:val="24"/>
          <w:szCs w:val="24"/>
          <w:u w:val="single"/>
        </w:rPr>
        <w:t>- G</w:t>
      </w:r>
      <w:r w:rsidRPr="008E0BA4">
        <w:rPr>
          <w:rFonts w:asciiTheme="minorHAnsi" w:hAnsiTheme="minorHAnsi"/>
          <w:b/>
          <w:sz w:val="24"/>
          <w:szCs w:val="24"/>
          <w:u w:val="single"/>
        </w:rPr>
        <w:t>astos de viaje:</w:t>
      </w:r>
    </w:p>
    <w:p w:rsidR="000B4729" w:rsidRDefault="000B4729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E0BA4">
        <w:rPr>
          <w:rFonts w:asciiTheme="minorHAnsi" w:hAnsiTheme="minorHAnsi"/>
          <w:sz w:val="24"/>
          <w:szCs w:val="24"/>
        </w:rPr>
        <w:t xml:space="preserve">Corresponde a anticipos efectuados a empleados del área </w:t>
      </w:r>
      <w:r w:rsidR="000872AF">
        <w:rPr>
          <w:rFonts w:asciiTheme="minorHAnsi" w:hAnsiTheme="minorHAnsi"/>
          <w:sz w:val="24"/>
          <w:szCs w:val="24"/>
        </w:rPr>
        <w:t>operativa</w:t>
      </w:r>
      <w:r w:rsidRPr="008E0BA4">
        <w:rPr>
          <w:rFonts w:asciiTheme="minorHAnsi" w:hAnsiTheme="minorHAnsi"/>
          <w:sz w:val="24"/>
          <w:szCs w:val="24"/>
        </w:rPr>
        <w:t xml:space="preserve"> para gastos de viaje fuera de la ciudad.</w:t>
      </w:r>
    </w:p>
    <w:p w:rsidR="000B4729" w:rsidRDefault="000B4729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D0B1E" w:rsidRPr="008E0BA4" w:rsidRDefault="00DD0B1E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E0BA4">
        <w:rPr>
          <w:rFonts w:asciiTheme="minorHAnsi" w:hAnsiTheme="minorHAnsi"/>
          <w:b/>
          <w:sz w:val="24"/>
          <w:szCs w:val="24"/>
          <w:u w:val="single"/>
        </w:rPr>
        <w:t>Anticipos</w:t>
      </w:r>
      <w:r w:rsidR="00E42C64">
        <w:rPr>
          <w:rFonts w:asciiTheme="minorHAnsi" w:hAnsiTheme="minorHAnsi"/>
          <w:b/>
          <w:sz w:val="24"/>
          <w:szCs w:val="24"/>
          <w:u w:val="single"/>
        </w:rPr>
        <w:t xml:space="preserve"> – Compra de </w:t>
      </w:r>
      <w:r w:rsidR="00A653C6">
        <w:rPr>
          <w:rFonts w:asciiTheme="minorHAnsi" w:hAnsiTheme="minorHAnsi"/>
          <w:b/>
          <w:sz w:val="24"/>
          <w:szCs w:val="24"/>
          <w:u w:val="single"/>
        </w:rPr>
        <w:t>Maquinaria</w:t>
      </w:r>
      <w:r w:rsidRPr="008E0BA4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DD0B1E" w:rsidRPr="008E0BA4" w:rsidRDefault="00DD0B1E" w:rsidP="00D4518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 xml:space="preserve">Corresponde a </w:t>
      </w:r>
      <w:r w:rsidR="000316B2">
        <w:rPr>
          <w:rFonts w:asciiTheme="minorHAnsi" w:hAnsiTheme="minorHAnsi"/>
          <w:sz w:val="24"/>
          <w:szCs w:val="24"/>
        </w:rPr>
        <w:t>a</w:t>
      </w:r>
      <w:r w:rsidRPr="008E0BA4">
        <w:rPr>
          <w:rFonts w:asciiTheme="minorHAnsi" w:hAnsiTheme="minorHAnsi"/>
          <w:sz w:val="24"/>
          <w:szCs w:val="24"/>
        </w:rPr>
        <w:t xml:space="preserve">nticipo </w:t>
      </w:r>
      <w:r w:rsidR="000316B2">
        <w:rPr>
          <w:rFonts w:asciiTheme="minorHAnsi" w:hAnsiTheme="minorHAnsi"/>
          <w:sz w:val="24"/>
          <w:szCs w:val="24"/>
        </w:rPr>
        <w:t xml:space="preserve">entregado </w:t>
      </w:r>
      <w:r w:rsidRPr="008E0BA4">
        <w:rPr>
          <w:rFonts w:asciiTheme="minorHAnsi" w:hAnsiTheme="minorHAnsi"/>
          <w:sz w:val="24"/>
          <w:szCs w:val="24"/>
        </w:rPr>
        <w:t>para la adquisición de maquinaria y equipo.</w:t>
      </w:r>
    </w:p>
    <w:p w:rsidR="00C96830" w:rsidRDefault="00C96830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BB3BF1" w:rsidRPr="008E0BA4" w:rsidRDefault="00BB3BF1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E0BA4">
        <w:rPr>
          <w:rFonts w:asciiTheme="minorHAnsi" w:hAnsiTheme="minorHAnsi"/>
          <w:b/>
          <w:sz w:val="24"/>
          <w:szCs w:val="24"/>
          <w:u w:val="single"/>
        </w:rPr>
        <w:t>Reclamación Aseguradora:</w:t>
      </w:r>
    </w:p>
    <w:p w:rsidR="00BB3BF1" w:rsidRPr="008E0BA4" w:rsidRDefault="00BB3BF1" w:rsidP="00D4518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 xml:space="preserve">Corresponde a reclamación efectuada por la Compañía por el </w:t>
      </w:r>
      <w:r w:rsidR="00442729">
        <w:rPr>
          <w:rFonts w:asciiTheme="minorHAnsi" w:hAnsiTheme="minorHAnsi"/>
          <w:sz w:val="24"/>
          <w:szCs w:val="24"/>
        </w:rPr>
        <w:t>h</w:t>
      </w:r>
      <w:r w:rsidRPr="008E0BA4">
        <w:rPr>
          <w:rFonts w:asciiTheme="minorHAnsi" w:hAnsiTheme="minorHAnsi"/>
          <w:sz w:val="24"/>
          <w:szCs w:val="24"/>
        </w:rPr>
        <w:t xml:space="preserve">urto de </w:t>
      </w:r>
      <w:r w:rsidR="00442729">
        <w:rPr>
          <w:rFonts w:asciiTheme="minorHAnsi" w:hAnsiTheme="minorHAnsi"/>
          <w:sz w:val="24"/>
          <w:szCs w:val="24"/>
        </w:rPr>
        <w:t>v</w:t>
      </w:r>
      <w:r w:rsidRPr="008E0BA4">
        <w:rPr>
          <w:rFonts w:asciiTheme="minorHAnsi" w:hAnsiTheme="minorHAnsi"/>
          <w:sz w:val="24"/>
          <w:szCs w:val="24"/>
        </w:rPr>
        <w:t xml:space="preserve">ehículo. La reclamación se encuentra en proceso de evaluación por parte de la </w:t>
      </w:r>
      <w:r w:rsidR="00D45189">
        <w:rPr>
          <w:rFonts w:asciiTheme="minorHAnsi" w:hAnsiTheme="minorHAnsi"/>
          <w:sz w:val="24"/>
          <w:szCs w:val="24"/>
        </w:rPr>
        <w:t>e</w:t>
      </w:r>
      <w:r w:rsidRPr="008E0BA4">
        <w:rPr>
          <w:rFonts w:asciiTheme="minorHAnsi" w:hAnsiTheme="minorHAnsi"/>
          <w:sz w:val="24"/>
          <w:szCs w:val="24"/>
        </w:rPr>
        <w:t>ntidad Aseguradora y existe incertidumbre acerca del reconocimiento por parte de l</w:t>
      </w:r>
      <w:r w:rsidR="003C573B" w:rsidRPr="008E0BA4">
        <w:rPr>
          <w:rFonts w:asciiTheme="minorHAnsi" w:hAnsiTheme="minorHAnsi"/>
          <w:sz w:val="24"/>
          <w:szCs w:val="24"/>
        </w:rPr>
        <w:t>a Aseguradora.</w:t>
      </w:r>
    </w:p>
    <w:p w:rsidR="002E3218" w:rsidRDefault="002E3218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5250F" w:rsidRPr="003400B2" w:rsidRDefault="0005250F" w:rsidP="005875C0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Inventarios:</w:t>
      </w:r>
    </w:p>
    <w:p w:rsidR="003400B2" w:rsidRPr="003400B2" w:rsidRDefault="003400B2" w:rsidP="003400B2">
      <w:pPr>
        <w:pStyle w:val="Prrafodelist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3400B2" w:rsidRPr="003400B2" w:rsidRDefault="003400B2" w:rsidP="003400B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3400B2">
        <w:rPr>
          <w:rFonts w:cstheme="minorHAnsi"/>
          <w:b/>
          <w:sz w:val="24"/>
          <w:szCs w:val="24"/>
          <w:u w:val="single"/>
        </w:rPr>
        <w:t xml:space="preserve">Materia prima: </w:t>
      </w:r>
    </w:p>
    <w:p w:rsidR="003400B2" w:rsidRPr="003400B2" w:rsidRDefault="003400B2" w:rsidP="003400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00B2">
        <w:rPr>
          <w:rFonts w:cstheme="minorHAnsi"/>
          <w:sz w:val="24"/>
          <w:szCs w:val="24"/>
        </w:rPr>
        <w:t>La materia prima es importada</w:t>
      </w:r>
      <w:r w:rsidR="00FB3602">
        <w:rPr>
          <w:rFonts w:cstheme="minorHAnsi"/>
          <w:sz w:val="24"/>
          <w:szCs w:val="24"/>
        </w:rPr>
        <w:t xml:space="preserve"> a través de una SIA (Sociedad Intermediaria Aduanera)</w:t>
      </w:r>
      <w:r w:rsidRPr="003400B2">
        <w:rPr>
          <w:rFonts w:cstheme="minorHAnsi"/>
          <w:sz w:val="24"/>
          <w:szCs w:val="24"/>
        </w:rPr>
        <w:t>. La composición de</w:t>
      </w:r>
      <w:r w:rsidR="00EB6B97">
        <w:rPr>
          <w:rFonts w:cstheme="minorHAnsi"/>
          <w:sz w:val="24"/>
          <w:szCs w:val="24"/>
        </w:rPr>
        <w:t xml:space="preserve"> su costo comprende: 60% FOB, 35</w:t>
      </w:r>
      <w:r w:rsidRPr="003400B2">
        <w:rPr>
          <w:rFonts w:cstheme="minorHAnsi"/>
          <w:sz w:val="24"/>
          <w:szCs w:val="24"/>
        </w:rPr>
        <w:t>% fletes y seguros</w:t>
      </w:r>
      <w:r>
        <w:rPr>
          <w:rFonts w:cstheme="minorHAnsi"/>
          <w:sz w:val="24"/>
          <w:szCs w:val="24"/>
        </w:rPr>
        <w:t>,</w:t>
      </w:r>
      <w:r w:rsidR="00EB6B97">
        <w:rPr>
          <w:rFonts w:cstheme="minorHAnsi"/>
          <w:sz w:val="24"/>
          <w:szCs w:val="24"/>
        </w:rPr>
        <w:t xml:space="preserve"> y 5</w:t>
      </w:r>
      <w:r w:rsidRPr="003400B2">
        <w:rPr>
          <w:rFonts w:cstheme="minorHAnsi"/>
          <w:sz w:val="24"/>
          <w:szCs w:val="24"/>
        </w:rPr>
        <w:t xml:space="preserve">% diferencia en cambio capitalizada. El costo de reposición de la materia prima </w:t>
      </w:r>
      <w:r>
        <w:rPr>
          <w:rFonts w:cstheme="minorHAnsi"/>
          <w:sz w:val="24"/>
          <w:szCs w:val="24"/>
        </w:rPr>
        <w:t>es de $</w:t>
      </w:r>
      <w:r w:rsidRPr="003400B2">
        <w:rPr>
          <w:rFonts w:cstheme="minorHAnsi"/>
          <w:sz w:val="24"/>
          <w:szCs w:val="24"/>
        </w:rPr>
        <w:t>5.800.</w:t>
      </w:r>
    </w:p>
    <w:p w:rsidR="003400B2" w:rsidRDefault="003400B2" w:rsidP="003400B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400B2" w:rsidRPr="00EB1285" w:rsidRDefault="003400B2" w:rsidP="003400B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B1285">
        <w:rPr>
          <w:rFonts w:cstheme="minorHAnsi"/>
          <w:b/>
          <w:sz w:val="24"/>
          <w:szCs w:val="24"/>
          <w:u w:val="single"/>
        </w:rPr>
        <w:t>Producto en proceso</w:t>
      </w:r>
      <w:r w:rsidR="00EB1285" w:rsidRPr="00EB1285">
        <w:rPr>
          <w:rFonts w:cstheme="minorHAnsi"/>
          <w:b/>
          <w:sz w:val="24"/>
          <w:szCs w:val="24"/>
          <w:u w:val="single"/>
        </w:rPr>
        <w:t>:</w:t>
      </w:r>
    </w:p>
    <w:p w:rsidR="003400B2" w:rsidRPr="003400B2" w:rsidRDefault="003400B2" w:rsidP="003400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00B2">
        <w:rPr>
          <w:rFonts w:cstheme="minorHAnsi"/>
          <w:sz w:val="24"/>
          <w:szCs w:val="24"/>
        </w:rPr>
        <w:t>Se encuentran cargados el 60% de los costos. En particular, está cargada la totalidad de la materia prima que se consume en el producto terminado (55%) y otros costos directos variables (5%). Según análisis del valor neto realizable (VNR), en producto en proceso, el costo bajo las NIIF es inferior al VNR, por lo que en este aspecto no hay lugar a ajustes de conversión.</w:t>
      </w:r>
    </w:p>
    <w:p w:rsidR="003400B2" w:rsidRPr="003400B2" w:rsidRDefault="003400B2" w:rsidP="003400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3400B2" w:rsidRPr="001D52C1" w:rsidRDefault="003400B2" w:rsidP="003400B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D52C1">
        <w:rPr>
          <w:rFonts w:cstheme="minorHAnsi"/>
          <w:b/>
          <w:sz w:val="24"/>
          <w:szCs w:val="24"/>
          <w:u w:val="single"/>
        </w:rPr>
        <w:t>Producto terminado</w:t>
      </w:r>
      <w:r w:rsidR="00DB1F8A" w:rsidRPr="001D52C1">
        <w:rPr>
          <w:rFonts w:cstheme="minorHAnsi"/>
          <w:b/>
          <w:sz w:val="24"/>
          <w:szCs w:val="24"/>
          <w:u w:val="single"/>
        </w:rPr>
        <w:t>:</w:t>
      </w:r>
    </w:p>
    <w:p w:rsidR="003400B2" w:rsidRPr="003400B2" w:rsidRDefault="003400B2" w:rsidP="003400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00B2">
        <w:rPr>
          <w:rFonts w:cstheme="minorHAnsi"/>
          <w:sz w:val="24"/>
          <w:szCs w:val="24"/>
        </w:rPr>
        <w:t xml:space="preserve">El producto terminado </w:t>
      </w:r>
      <w:r w:rsidR="006C0B50">
        <w:rPr>
          <w:rFonts w:cstheme="minorHAnsi"/>
          <w:sz w:val="24"/>
          <w:szCs w:val="24"/>
        </w:rPr>
        <w:t>comprende: 55% materia prima, 10% mano de obra, 2</w:t>
      </w:r>
      <w:r w:rsidRPr="003400B2">
        <w:rPr>
          <w:rFonts w:cstheme="minorHAnsi"/>
          <w:sz w:val="24"/>
          <w:szCs w:val="24"/>
        </w:rPr>
        <w:t xml:space="preserve">0% </w:t>
      </w:r>
      <w:r w:rsidR="006C0B50">
        <w:rPr>
          <w:rFonts w:cstheme="minorHAnsi"/>
          <w:sz w:val="24"/>
          <w:szCs w:val="24"/>
        </w:rPr>
        <w:t>costos indirectos variables y 15</w:t>
      </w:r>
      <w:r w:rsidRPr="003400B2">
        <w:rPr>
          <w:rFonts w:cstheme="minorHAnsi"/>
          <w:sz w:val="24"/>
          <w:szCs w:val="24"/>
        </w:rPr>
        <w:t>% costos fijos asignados. Del saldo existente a 31 de diciembre de 201</w:t>
      </w:r>
      <w:r w:rsidR="00EB6B97">
        <w:rPr>
          <w:rFonts w:cstheme="minorHAnsi"/>
          <w:sz w:val="24"/>
          <w:szCs w:val="24"/>
        </w:rPr>
        <w:t>4, $15</w:t>
      </w:r>
      <w:r w:rsidRPr="003400B2">
        <w:rPr>
          <w:rFonts w:cstheme="minorHAnsi"/>
          <w:sz w:val="24"/>
          <w:szCs w:val="24"/>
        </w:rPr>
        <w:t>.000 corresponden a la producción de ese mes, equivalente a 10.000 unidades. Los $5.000 restantes corresponden a 1.000 unidades de saldos</w:t>
      </w:r>
      <w:r w:rsidR="006C0B50">
        <w:rPr>
          <w:rFonts w:cstheme="minorHAnsi"/>
          <w:sz w:val="24"/>
          <w:szCs w:val="24"/>
        </w:rPr>
        <w:t xml:space="preserve"> antiguos y de lento movimiento</w:t>
      </w:r>
      <w:r w:rsidRPr="003400B2">
        <w:rPr>
          <w:rFonts w:cstheme="minorHAnsi"/>
          <w:sz w:val="24"/>
          <w:szCs w:val="24"/>
        </w:rPr>
        <w:t>. Según estimado de la gerencia, la compañía tenía establecido para el año 201</w:t>
      </w:r>
      <w:r w:rsidR="00EB6B97">
        <w:rPr>
          <w:rFonts w:cstheme="minorHAnsi"/>
          <w:sz w:val="24"/>
          <w:szCs w:val="24"/>
        </w:rPr>
        <w:t>4</w:t>
      </w:r>
      <w:r w:rsidR="006C0B50">
        <w:rPr>
          <w:rFonts w:cstheme="minorHAnsi"/>
          <w:sz w:val="24"/>
          <w:szCs w:val="24"/>
        </w:rPr>
        <w:t xml:space="preserve"> una producción normal de 100</w:t>
      </w:r>
      <w:r w:rsidRPr="003400B2">
        <w:rPr>
          <w:rFonts w:cstheme="minorHAnsi"/>
          <w:sz w:val="24"/>
          <w:szCs w:val="24"/>
        </w:rPr>
        <w:t>.000 unidades y sus</w:t>
      </w:r>
      <w:r w:rsidR="006C0B50">
        <w:rPr>
          <w:rFonts w:cstheme="minorHAnsi"/>
          <w:sz w:val="24"/>
          <w:szCs w:val="24"/>
        </w:rPr>
        <w:t xml:space="preserve"> costos fijos anuales son de $460</w:t>
      </w:r>
      <w:r w:rsidRPr="003400B2">
        <w:rPr>
          <w:rFonts w:cstheme="minorHAnsi"/>
          <w:sz w:val="24"/>
          <w:szCs w:val="24"/>
        </w:rPr>
        <w:t>.000 (</w:t>
      </w:r>
      <w:r w:rsidR="006C0B50">
        <w:rPr>
          <w:rFonts w:cstheme="minorHAnsi"/>
          <w:sz w:val="24"/>
          <w:szCs w:val="24"/>
        </w:rPr>
        <w:t>Anual</w:t>
      </w:r>
      <w:r w:rsidRPr="003400B2">
        <w:rPr>
          <w:rFonts w:cstheme="minorHAnsi"/>
          <w:sz w:val="24"/>
          <w:szCs w:val="24"/>
        </w:rPr>
        <w:t>). Los inventari</w:t>
      </w:r>
      <w:r w:rsidR="00EB6B97">
        <w:rPr>
          <w:rFonts w:cstheme="minorHAnsi"/>
          <w:sz w:val="24"/>
          <w:szCs w:val="24"/>
        </w:rPr>
        <w:t>os se valoran por el método promedio ponderado</w:t>
      </w:r>
      <w:r w:rsidRPr="003400B2">
        <w:rPr>
          <w:rFonts w:cstheme="minorHAnsi"/>
          <w:sz w:val="24"/>
          <w:szCs w:val="24"/>
        </w:rPr>
        <w:t>.</w:t>
      </w:r>
    </w:p>
    <w:p w:rsidR="003400B2" w:rsidRPr="003400B2" w:rsidRDefault="003400B2" w:rsidP="003400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3400B2" w:rsidRPr="003400B2" w:rsidRDefault="003400B2" w:rsidP="003400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00B2">
        <w:rPr>
          <w:rFonts w:cstheme="minorHAnsi"/>
          <w:sz w:val="24"/>
          <w:szCs w:val="24"/>
        </w:rPr>
        <w:t xml:space="preserve">Una vez </w:t>
      </w:r>
      <w:r w:rsidR="001D52C1">
        <w:rPr>
          <w:rFonts w:cstheme="minorHAnsi"/>
          <w:sz w:val="24"/>
          <w:szCs w:val="24"/>
        </w:rPr>
        <w:t>realizada la valoración bajo NI</w:t>
      </w:r>
      <w:r w:rsidR="006C0B50">
        <w:rPr>
          <w:rFonts w:cstheme="minorHAnsi"/>
          <w:sz w:val="24"/>
          <w:szCs w:val="24"/>
        </w:rPr>
        <w:t>I</w:t>
      </w:r>
      <w:r w:rsidRPr="003400B2">
        <w:rPr>
          <w:rFonts w:cstheme="minorHAnsi"/>
          <w:sz w:val="24"/>
          <w:szCs w:val="24"/>
        </w:rPr>
        <w:t>F, se encontró que el precio de venta unit</w:t>
      </w:r>
      <w:r w:rsidR="006C0B50">
        <w:rPr>
          <w:rFonts w:cstheme="minorHAnsi"/>
          <w:sz w:val="24"/>
          <w:szCs w:val="24"/>
        </w:rPr>
        <w:t>ario de estos productos es de $5</w:t>
      </w:r>
      <w:r w:rsidRPr="003400B2">
        <w:rPr>
          <w:rFonts w:cstheme="minorHAnsi"/>
          <w:sz w:val="24"/>
          <w:szCs w:val="24"/>
        </w:rPr>
        <w:t xml:space="preserve"> y los gastos de venta son del 15%. Sin embargo, para las unidades de lento movimiento, se encontró que por estar deterioradas su precio de v</w:t>
      </w:r>
      <w:r w:rsidR="006C0B50">
        <w:rPr>
          <w:rFonts w:cstheme="minorHAnsi"/>
          <w:sz w:val="24"/>
          <w:szCs w:val="24"/>
        </w:rPr>
        <w:t>enta en el mercado sería de $1,2</w:t>
      </w:r>
      <w:r w:rsidRPr="003400B2">
        <w:rPr>
          <w:rFonts w:cstheme="minorHAnsi"/>
          <w:sz w:val="24"/>
          <w:szCs w:val="24"/>
        </w:rPr>
        <w:t xml:space="preserve"> por un</w:t>
      </w:r>
      <w:r w:rsidR="006C0B50">
        <w:rPr>
          <w:rFonts w:cstheme="minorHAnsi"/>
          <w:sz w:val="24"/>
          <w:szCs w:val="24"/>
        </w:rPr>
        <w:t>idad y sus gastos de venta del 2</w:t>
      </w:r>
      <w:r w:rsidRPr="003400B2">
        <w:rPr>
          <w:rFonts w:cstheme="minorHAnsi"/>
          <w:sz w:val="24"/>
          <w:szCs w:val="24"/>
        </w:rPr>
        <w:t>0%.</w:t>
      </w:r>
    </w:p>
    <w:p w:rsidR="003400B2" w:rsidRDefault="003400B2" w:rsidP="003400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6C0B50" w:rsidRDefault="006C0B50" w:rsidP="003400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6C0B50" w:rsidRPr="003400B2" w:rsidRDefault="006C0B50" w:rsidP="003400B2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1D2578" w:rsidRPr="001D2578" w:rsidRDefault="001D2578" w:rsidP="001D2578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D2578">
        <w:rPr>
          <w:rFonts w:cstheme="minorHAnsi"/>
          <w:b/>
          <w:sz w:val="24"/>
          <w:szCs w:val="24"/>
          <w:u w:val="single"/>
        </w:rPr>
        <w:t>Mercancías no fabricadas por la empresa:</w:t>
      </w:r>
    </w:p>
    <w:p w:rsidR="001D2578" w:rsidRPr="003400B2" w:rsidRDefault="00773882" w:rsidP="001D2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Sobre las</w:t>
      </w:r>
      <w:r w:rsidR="009E74FD">
        <w:rPr>
          <w:rFonts w:cstheme="minorHAnsi"/>
          <w:sz w:val="24"/>
          <w:szCs w:val="24"/>
        </w:rPr>
        <w:t xml:space="preserve"> mercancías no fabricadas por la empresa</w:t>
      </w:r>
      <w:r>
        <w:rPr>
          <w:rFonts w:cstheme="minorHAnsi"/>
          <w:sz w:val="24"/>
          <w:szCs w:val="24"/>
        </w:rPr>
        <w:t>, en diciembre de 2014</w:t>
      </w:r>
      <w:r w:rsidR="00BC2758">
        <w:rPr>
          <w:rFonts w:cstheme="minorHAnsi"/>
          <w:sz w:val="24"/>
          <w:szCs w:val="24"/>
        </w:rPr>
        <w:t xml:space="preserve"> el proveedor otorgó un descuento </w:t>
      </w:r>
      <w:r w:rsidR="00346272">
        <w:rPr>
          <w:rFonts w:cstheme="minorHAnsi"/>
          <w:sz w:val="24"/>
          <w:szCs w:val="24"/>
        </w:rPr>
        <w:t>por volumen</w:t>
      </w:r>
      <w:r w:rsidR="00BC2758">
        <w:rPr>
          <w:rFonts w:cstheme="minorHAnsi"/>
          <w:sz w:val="24"/>
          <w:szCs w:val="24"/>
        </w:rPr>
        <w:t xml:space="preserve"> del 10% sobre el valor de la mercancía, </w:t>
      </w:r>
      <w:r w:rsidR="00346272">
        <w:rPr>
          <w:rFonts w:cstheme="minorHAnsi"/>
          <w:sz w:val="24"/>
          <w:szCs w:val="24"/>
        </w:rPr>
        <w:t>estadísticamente la compa</w:t>
      </w:r>
      <w:r w:rsidR="00216FD1">
        <w:rPr>
          <w:rFonts w:cstheme="minorHAnsi"/>
          <w:sz w:val="24"/>
          <w:szCs w:val="24"/>
        </w:rPr>
        <w:t>ñía ha cumplido con la compra de más de 1.200.000 unidades</w:t>
      </w:r>
      <w:r w:rsidR="00BC2758">
        <w:rPr>
          <w:rFonts w:cstheme="minorHAnsi"/>
          <w:sz w:val="24"/>
          <w:szCs w:val="24"/>
        </w:rPr>
        <w:t xml:space="preserve">. Este descuento bajo PCGA locales fue reconocido como un ingreso financiero. </w:t>
      </w:r>
      <w:r w:rsidR="009E74FD">
        <w:rPr>
          <w:rFonts w:cstheme="minorHAnsi"/>
          <w:sz w:val="24"/>
          <w:szCs w:val="24"/>
        </w:rPr>
        <w:t xml:space="preserve"> </w:t>
      </w:r>
    </w:p>
    <w:p w:rsidR="001D2578" w:rsidRDefault="001D2578" w:rsidP="003400B2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3400B2" w:rsidRPr="00ED0C67" w:rsidRDefault="003400B2" w:rsidP="003400B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D0C67">
        <w:rPr>
          <w:rFonts w:cstheme="minorHAnsi"/>
          <w:b/>
          <w:sz w:val="24"/>
          <w:szCs w:val="24"/>
          <w:u w:val="single"/>
        </w:rPr>
        <w:t>Repuestos</w:t>
      </w:r>
      <w:r w:rsidR="00ED0C67" w:rsidRPr="00ED0C67">
        <w:rPr>
          <w:rFonts w:cstheme="minorHAnsi"/>
          <w:b/>
          <w:sz w:val="24"/>
          <w:szCs w:val="24"/>
          <w:u w:val="single"/>
        </w:rPr>
        <w:t>:</w:t>
      </w:r>
      <w:r w:rsidRPr="00ED0C67">
        <w:rPr>
          <w:rFonts w:cstheme="minorHAnsi"/>
          <w:b/>
          <w:sz w:val="24"/>
          <w:szCs w:val="24"/>
          <w:u w:val="single"/>
        </w:rPr>
        <w:t xml:space="preserve"> </w:t>
      </w:r>
    </w:p>
    <w:p w:rsidR="00762AEE" w:rsidRDefault="003400B2" w:rsidP="003400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00B2">
        <w:rPr>
          <w:rFonts w:cstheme="minorHAnsi"/>
          <w:sz w:val="24"/>
          <w:szCs w:val="24"/>
        </w:rPr>
        <w:t>Los repuestos incluyen</w:t>
      </w:r>
      <w:r w:rsidR="00762AEE">
        <w:rPr>
          <w:rFonts w:cstheme="minorHAnsi"/>
          <w:sz w:val="24"/>
          <w:szCs w:val="24"/>
        </w:rPr>
        <w:t xml:space="preserve"> lo siguiente:</w:t>
      </w:r>
    </w:p>
    <w:p w:rsidR="00762AEE" w:rsidRDefault="00762AEE" w:rsidP="003400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1274"/>
        <w:gridCol w:w="1833"/>
        <w:gridCol w:w="1833"/>
      </w:tblGrid>
      <w:tr w:rsidR="009455F8" w:rsidRPr="00762AEE" w:rsidTr="0004497E">
        <w:tc>
          <w:tcPr>
            <w:tcW w:w="3087" w:type="dxa"/>
          </w:tcPr>
          <w:p w:rsidR="009455F8" w:rsidRPr="00762AEE" w:rsidRDefault="009455F8" w:rsidP="00762AE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Tipo</w:t>
            </w:r>
          </w:p>
        </w:tc>
        <w:tc>
          <w:tcPr>
            <w:tcW w:w="1274" w:type="dxa"/>
          </w:tcPr>
          <w:p w:rsidR="009455F8" w:rsidRPr="00762AEE" w:rsidRDefault="009455F8" w:rsidP="00762AE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Valor</w:t>
            </w:r>
          </w:p>
        </w:tc>
        <w:tc>
          <w:tcPr>
            <w:tcW w:w="1833" w:type="dxa"/>
          </w:tcPr>
          <w:p w:rsidR="009455F8" w:rsidRPr="00762AEE" w:rsidRDefault="009455F8" w:rsidP="00762AE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Avalúo Técnico</w:t>
            </w:r>
          </w:p>
        </w:tc>
        <w:tc>
          <w:tcPr>
            <w:tcW w:w="1833" w:type="dxa"/>
          </w:tcPr>
          <w:p w:rsidR="009455F8" w:rsidRDefault="009455F8" w:rsidP="00762AE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Depreciación</w:t>
            </w:r>
          </w:p>
        </w:tc>
      </w:tr>
      <w:tr w:rsidR="009455F8" w:rsidTr="0004497E">
        <w:tc>
          <w:tcPr>
            <w:tcW w:w="3087" w:type="dxa"/>
          </w:tcPr>
          <w:p w:rsidR="009455F8" w:rsidRDefault="009455F8" w:rsidP="003400B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Inventario de Piezas</w:t>
            </w:r>
          </w:p>
        </w:tc>
        <w:tc>
          <w:tcPr>
            <w:tcW w:w="1274" w:type="dxa"/>
          </w:tcPr>
          <w:p w:rsidR="009455F8" w:rsidRDefault="009455F8" w:rsidP="00762AEE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10.000</w:t>
            </w:r>
          </w:p>
        </w:tc>
        <w:tc>
          <w:tcPr>
            <w:tcW w:w="1833" w:type="dxa"/>
          </w:tcPr>
          <w:p w:rsidR="009455F8" w:rsidRDefault="009455F8" w:rsidP="00762AEE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10.800</w:t>
            </w:r>
          </w:p>
        </w:tc>
        <w:tc>
          <w:tcPr>
            <w:tcW w:w="1833" w:type="dxa"/>
          </w:tcPr>
          <w:p w:rsidR="009455F8" w:rsidRDefault="00E70C92" w:rsidP="00762AEE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833</w:t>
            </w:r>
          </w:p>
        </w:tc>
      </w:tr>
      <w:tr w:rsidR="009455F8" w:rsidTr="0004497E">
        <w:tc>
          <w:tcPr>
            <w:tcW w:w="3087" w:type="dxa"/>
          </w:tcPr>
          <w:p w:rsidR="009455F8" w:rsidRDefault="009455F8" w:rsidP="003400B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Inventario de Accesorios</w:t>
            </w:r>
          </w:p>
        </w:tc>
        <w:tc>
          <w:tcPr>
            <w:tcW w:w="1274" w:type="dxa"/>
          </w:tcPr>
          <w:p w:rsidR="009455F8" w:rsidRDefault="00926860" w:rsidP="00762AEE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9455F8">
              <w:rPr>
                <w:rFonts w:cstheme="minorHAnsi"/>
                <w:sz w:val="24"/>
                <w:szCs w:val="24"/>
              </w:rPr>
              <w:t>.000</w:t>
            </w:r>
          </w:p>
        </w:tc>
        <w:tc>
          <w:tcPr>
            <w:tcW w:w="1833" w:type="dxa"/>
          </w:tcPr>
          <w:p w:rsidR="009455F8" w:rsidRDefault="009455F8" w:rsidP="00762AEE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9455F8" w:rsidRDefault="009455F8" w:rsidP="00762AEE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455F8" w:rsidTr="0004497E">
        <w:tc>
          <w:tcPr>
            <w:tcW w:w="3087" w:type="dxa"/>
          </w:tcPr>
          <w:p w:rsidR="009455F8" w:rsidRDefault="00926860" w:rsidP="003400B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274" w:type="dxa"/>
          </w:tcPr>
          <w:p w:rsidR="009455F8" w:rsidRDefault="00926860" w:rsidP="00926860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20.000</w:t>
            </w:r>
          </w:p>
        </w:tc>
        <w:tc>
          <w:tcPr>
            <w:tcW w:w="1833" w:type="dxa"/>
          </w:tcPr>
          <w:p w:rsidR="009455F8" w:rsidRDefault="009455F8" w:rsidP="003400B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3" w:type="dxa"/>
          </w:tcPr>
          <w:p w:rsidR="009455F8" w:rsidRDefault="009455F8" w:rsidP="003400B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62AEE" w:rsidRDefault="00762AEE" w:rsidP="003400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400B2" w:rsidRDefault="00762AEE" w:rsidP="003400B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inventario de piezas de repuesto</w:t>
      </w:r>
      <w:r w:rsidR="003400B2" w:rsidRPr="003400B2">
        <w:rPr>
          <w:rFonts w:cstheme="minorHAnsi"/>
          <w:sz w:val="24"/>
          <w:szCs w:val="24"/>
        </w:rPr>
        <w:t xml:space="preserve">, se </w:t>
      </w:r>
      <w:r>
        <w:rPr>
          <w:rFonts w:cstheme="minorHAnsi"/>
          <w:sz w:val="24"/>
          <w:szCs w:val="24"/>
        </w:rPr>
        <w:t>adquirieron</w:t>
      </w:r>
      <w:r w:rsidR="003400B2" w:rsidRPr="003400B2">
        <w:rPr>
          <w:rFonts w:cstheme="minorHAnsi"/>
          <w:sz w:val="24"/>
          <w:szCs w:val="24"/>
        </w:rPr>
        <w:t xml:space="preserve"> el 1º de enero del 20</w:t>
      </w:r>
      <w:r w:rsidR="00773882">
        <w:rPr>
          <w:rFonts w:cstheme="minorHAnsi"/>
          <w:sz w:val="24"/>
          <w:szCs w:val="24"/>
        </w:rPr>
        <w:t>13</w:t>
      </w:r>
      <w:r w:rsidR="003400B2" w:rsidRPr="003400B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3400B2" w:rsidRPr="003400B2">
        <w:rPr>
          <w:rFonts w:cstheme="minorHAnsi"/>
          <w:sz w:val="24"/>
          <w:szCs w:val="24"/>
        </w:rPr>
        <w:t xml:space="preserve">El </w:t>
      </w:r>
      <w:r>
        <w:rPr>
          <w:rFonts w:cstheme="minorHAnsi"/>
          <w:sz w:val="24"/>
          <w:szCs w:val="24"/>
        </w:rPr>
        <w:t>juego de repuestos</w:t>
      </w:r>
      <w:r w:rsidR="003400B2" w:rsidRPr="003400B2">
        <w:rPr>
          <w:rFonts w:cstheme="minorHAnsi"/>
          <w:sz w:val="24"/>
          <w:szCs w:val="24"/>
        </w:rPr>
        <w:t xml:space="preserve"> a la fecha no ha sido utilizado, pero es de uso exclusivo de la máquina y según avalúo técnico, realizado a </w:t>
      </w:r>
      <w:r w:rsidR="00E328A6">
        <w:rPr>
          <w:rFonts w:cstheme="minorHAnsi"/>
          <w:sz w:val="24"/>
          <w:szCs w:val="24"/>
        </w:rPr>
        <w:t>la fecha de conversión hacia NI</w:t>
      </w:r>
      <w:r w:rsidR="003400B2" w:rsidRPr="003400B2">
        <w:rPr>
          <w:rFonts w:cstheme="minorHAnsi"/>
          <w:sz w:val="24"/>
          <w:szCs w:val="24"/>
        </w:rPr>
        <w:t>F tiene un costo de r</w:t>
      </w:r>
      <w:r>
        <w:rPr>
          <w:rFonts w:cstheme="minorHAnsi"/>
          <w:sz w:val="24"/>
          <w:szCs w:val="24"/>
        </w:rPr>
        <w:t>eposición neto depreciado de $10.800</w:t>
      </w:r>
      <w:r w:rsidR="009455F8">
        <w:rPr>
          <w:rFonts w:cstheme="minorHAnsi"/>
          <w:sz w:val="24"/>
          <w:szCs w:val="24"/>
        </w:rPr>
        <w:t>.</w:t>
      </w:r>
    </w:p>
    <w:p w:rsidR="00A52209" w:rsidRPr="00264270" w:rsidRDefault="00A52209" w:rsidP="002642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52209" w:rsidRPr="00264270" w:rsidRDefault="00A52209" w:rsidP="0026427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270">
        <w:rPr>
          <w:rFonts w:asciiTheme="minorHAnsi" w:hAnsiTheme="minorHAnsi" w:cstheme="minorHAnsi"/>
          <w:b/>
          <w:sz w:val="24"/>
          <w:szCs w:val="24"/>
          <w:u w:val="single"/>
        </w:rPr>
        <w:t>Cultivos en desarrollo:</w:t>
      </w:r>
    </w:p>
    <w:p w:rsidR="00520709" w:rsidRPr="00F926FC" w:rsidRDefault="00A52209" w:rsidP="002642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La Compañía es productora de </w:t>
      </w:r>
      <w:r w:rsidR="004B0A6C">
        <w:rPr>
          <w:rFonts w:asciiTheme="minorHAnsi" w:hAnsiTheme="minorHAnsi" w:cs="Lucida Grande"/>
          <w:color w:val="000000"/>
          <w:sz w:val="24"/>
          <w:szCs w:val="24"/>
        </w:rPr>
        <w:t>hortalizas</w:t>
      </w:r>
      <w:r w:rsidRPr="00264270">
        <w:rPr>
          <w:rFonts w:asciiTheme="minorHAnsi" w:hAnsiTheme="minorHAnsi" w:cs="Lucida Grande"/>
          <w:color w:val="000000"/>
          <w:sz w:val="24"/>
          <w:szCs w:val="24"/>
        </w:rPr>
        <w:t>, para l</w:t>
      </w:r>
      <w:r w:rsidR="00773882">
        <w:rPr>
          <w:rFonts w:asciiTheme="minorHAnsi" w:hAnsiTheme="minorHAnsi" w:cs="Lucida Grande"/>
          <w:color w:val="000000"/>
          <w:sz w:val="24"/>
          <w:szCs w:val="24"/>
        </w:rPr>
        <w:t>o cual durante el año 2014</w:t>
      </w:r>
      <w:r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 adquirió unas </w:t>
      </w:r>
      <w:r w:rsidR="009B3FBB">
        <w:rPr>
          <w:rFonts w:asciiTheme="minorHAnsi" w:hAnsiTheme="minorHAnsi" w:cs="Lucida Grande"/>
          <w:color w:val="000000"/>
          <w:sz w:val="24"/>
          <w:szCs w:val="24"/>
        </w:rPr>
        <w:t>plantas</w:t>
      </w:r>
      <w:r w:rsidRPr="00264270">
        <w:rPr>
          <w:rFonts w:asciiTheme="minorHAnsi" w:hAnsiTheme="minorHAnsi" w:cs="Lucida Grande"/>
          <w:color w:val="000000"/>
          <w:sz w:val="24"/>
          <w:szCs w:val="24"/>
        </w:rPr>
        <w:t>.</w:t>
      </w:r>
      <w:r w:rsidR="00F926FC">
        <w:rPr>
          <w:rFonts w:asciiTheme="minorHAnsi" w:hAnsiTheme="minorHAnsi" w:cstheme="minorHAnsi"/>
          <w:sz w:val="24"/>
          <w:szCs w:val="24"/>
        </w:rPr>
        <w:t xml:space="preserve"> </w:t>
      </w:r>
      <w:r w:rsidR="00520709"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El valor registrado en cultivos corresponde al costo de las </w:t>
      </w:r>
      <w:r w:rsidR="00D7641A">
        <w:rPr>
          <w:rFonts w:asciiTheme="minorHAnsi" w:hAnsiTheme="minorHAnsi" w:cs="Lucida Grande"/>
          <w:color w:val="000000"/>
          <w:sz w:val="24"/>
          <w:szCs w:val="24"/>
        </w:rPr>
        <w:t>plantas</w:t>
      </w:r>
      <w:r w:rsidR="00520709"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 compradas</w:t>
      </w:r>
      <w:r w:rsidR="00773882">
        <w:rPr>
          <w:rFonts w:asciiTheme="minorHAnsi" w:hAnsiTheme="minorHAnsi" w:cs="Lucida Grande"/>
          <w:color w:val="000000"/>
          <w:sz w:val="24"/>
          <w:szCs w:val="24"/>
        </w:rPr>
        <w:t xml:space="preserve"> y sembradas durante el año 2014</w:t>
      </w:r>
      <w:r w:rsidR="00520709" w:rsidRPr="00264270">
        <w:rPr>
          <w:rFonts w:asciiTheme="minorHAnsi" w:hAnsiTheme="minorHAnsi" w:cs="Lucida Grande"/>
          <w:color w:val="000000"/>
          <w:sz w:val="24"/>
          <w:szCs w:val="24"/>
        </w:rPr>
        <w:t>.</w:t>
      </w:r>
    </w:p>
    <w:p w:rsidR="00520709" w:rsidRPr="00264270" w:rsidRDefault="00520709" w:rsidP="00264270">
      <w:pPr>
        <w:spacing w:after="0" w:line="240" w:lineRule="auto"/>
        <w:jc w:val="both"/>
        <w:rPr>
          <w:rFonts w:asciiTheme="minorHAnsi" w:hAnsiTheme="minorHAnsi" w:cs="Lucida Grande"/>
          <w:color w:val="000000"/>
          <w:sz w:val="24"/>
          <w:szCs w:val="24"/>
        </w:rPr>
      </w:pPr>
    </w:p>
    <w:p w:rsidR="00520709" w:rsidRPr="00264270" w:rsidRDefault="00773882" w:rsidP="00264270">
      <w:pPr>
        <w:spacing w:after="0" w:line="240" w:lineRule="auto"/>
        <w:jc w:val="both"/>
        <w:rPr>
          <w:rFonts w:asciiTheme="minorHAnsi" w:hAnsiTheme="minorHAnsi" w:cs="Lucida Grande"/>
          <w:color w:val="000000"/>
          <w:sz w:val="24"/>
          <w:szCs w:val="24"/>
        </w:rPr>
      </w:pPr>
      <w:r>
        <w:rPr>
          <w:rFonts w:asciiTheme="minorHAnsi" w:hAnsiTheme="minorHAnsi" w:cs="Lucida Grande"/>
          <w:color w:val="000000"/>
          <w:sz w:val="24"/>
          <w:szCs w:val="24"/>
        </w:rPr>
        <w:t>El 31 de diciembre de 2014</w:t>
      </w:r>
      <w:r w:rsidR="00520709"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, el valor razonable menos los costos de venta de las </w:t>
      </w:r>
      <w:r w:rsidR="00FC708D">
        <w:rPr>
          <w:rFonts w:asciiTheme="minorHAnsi" w:hAnsiTheme="minorHAnsi" w:cs="Lucida Grande"/>
          <w:color w:val="000000"/>
          <w:sz w:val="24"/>
          <w:szCs w:val="24"/>
        </w:rPr>
        <w:t>hortalizas</w:t>
      </w:r>
      <w:r w:rsidR="00520709"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 </w:t>
      </w:r>
      <w:r w:rsidR="00FC708D">
        <w:rPr>
          <w:rFonts w:asciiTheme="minorHAnsi" w:hAnsiTheme="minorHAnsi" w:cs="Lucida Grande"/>
          <w:color w:val="000000"/>
          <w:sz w:val="24"/>
          <w:szCs w:val="24"/>
        </w:rPr>
        <w:t>próxima</w:t>
      </w:r>
      <w:r w:rsidR="00520709" w:rsidRPr="00264270">
        <w:rPr>
          <w:rFonts w:asciiTheme="minorHAnsi" w:hAnsiTheme="minorHAnsi" w:cs="Lucida Grande"/>
          <w:color w:val="000000"/>
          <w:sz w:val="24"/>
          <w:szCs w:val="24"/>
        </w:rPr>
        <w:t>s</w:t>
      </w:r>
      <w:r w:rsidR="00FC708D">
        <w:rPr>
          <w:rFonts w:asciiTheme="minorHAnsi" w:hAnsiTheme="minorHAnsi" w:cs="Lucida Grande"/>
          <w:color w:val="000000"/>
          <w:sz w:val="24"/>
          <w:szCs w:val="24"/>
        </w:rPr>
        <w:t xml:space="preserve"> a ser cosechados se mide</w:t>
      </w:r>
      <w:r w:rsidR="00F13352">
        <w:rPr>
          <w:rFonts w:asciiTheme="minorHAnsi" w:hAnsiTheme="minorHAnsi" w:cs="Lucida Grande"/>
          <w:color w:val="000000"/>
          <w:sz w:val="24"/>
          <w:szCs w:val="24"/>
        </w:rPr>
        <w:t>n</w:t>
      </w:r>
      <w:r w:rsidR="00FC708D">
        <w:rPr>
          <w:rFonts w:asciiTheme="minorHAnsi" w:hAnsiTheme="minorHAnsi" w:cs="Lucida Grande"/>
          <w:color w:val="000000"/>
          <w:sz w:val="24"/>
          <w:szCs w:val="24"/>
        </w:rPr>
        <w:t xml:space="preserve"> en $9</w:t>
      </w:r>
      <w:r>
        <w:rPr>
          <w:rFonts w:asciiTheme="minorHAnsi" w:hAnsiTheme="minorHAnsi" w:cs="Lucida Grande"/>
          <w:color w:val="000000"/>
          <w:sz w:val="24"/>
          <w:szCs w:val="24"/>
        </w:rPr>
        <w:t>.5</w:t>
      </w:r>
      <w:r w:rsidR="00520709" w:rsidRPr="00264270">
        <w:rPr>
          <w:rFonts w:asciiTheme="minorHAnsi" w:hAnsiTheme="minorHAnsi" w:cs="Lucida Grande"/>
          <w:color w:val="000000"/>
          <w:sz w:val="24"/>
          <w:szCs w:val="24"/>
        </w:rPr>
        <w:t>00.</w:t>
      </w:r>
    </w:p>
    <w:p w:rsidR="00520709" w:rsidRPr="00264270" w:rsidRDefault="00520709" w:rsidP="00264270">
      <w:pPr>
        <w:spacing w:after="0" w:line="240" w:lineRule="auto"/>
        <w:jc w:val="both"/>
        <w:rPr>
          <w:rFonts w:asciiTheme="minorHAnsi" w:hAnsiTheme="minorHAnsi" w:cs="Lucida Grande"/>
          <w:color w:val="000000"/>
          <w:sz w:val="24"/>
          <w:szCs w:val="24"/>
        </w:rPr>
      </w:pPr>
    </w:p>
    <w:p w:rsidR="00520709" w:rsidRPr="00264270" w:rsidRDefault="00F13352" w:rsidP="00264270">
      <w:pPr>
        <w:spacing w:after="0" w:line="240" w:lineRule="auto"/>
        <w:jc w:val="both"/>
        <w:rPr>
          <w:rFonts w:asciiTheme="minorHAnsi" w:hAnsiTheme="minorHAnsi" w:cs="Lucida Grande"/>
          <w:color w:val="000000"/>
          <w:sz w:val="24"/>
          <w:szCs w:val="24"/>
        </w:rPr>
      </w:pPr>
      <w:r>
        <w:rPr>
          <w:rFonts w:asciiTheme="minorHAnsi" w:hAnsiTheme="minorHAnsi" w:cs="Lucida Grande"/>
          <w:color w:val="000000"/>
          <w:sz w:val="24"/>
          <w:szCs w:val="24"/>
        </w:rPr>
        <w:t>La Compañía cosechará la</w:t>
      </w:r>
      <w:r w:rsidR="00520709"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s </w:t>
      </w:r>
      <w:r>
        <w:rPr>
          <w:rFonts w:asciiTheme="minorHAnsi" w:hAnsiTheme="minorHAnsi" w:cs="Lucida Grande"/>
          <w:color w:val="000000"/>
          <w:sz w:val="24"/>
          <w:szCs w:val="24"/>
        </w:rPr>
        <w:t>hortalizas</w:t>
      </w:r>
      <w:r w:rsidR="00520709"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 en </w:t>
      </w:r>
      <w:r>
        <w:rPr>
          <w:rFonts w:asciiTheme="minorHAnsi" w:hAnsiTheme="minorHAnsi" w:cs="Lucida Grande"/>
          <w:color w:val="000000"/>
          <w:sz w:val="24"/>
          <w:szCs w:val="24"/>
        </w:rPr>
        <w:t>el primer trimestre del año 2015</w:t>
      </w:r>
      <w:r w:rsidR="00520709" w:rsidRPr="00264270">
        <w:rPr>
          <w:rFonts w:asciiTheme="minorHAnsi" w:hAnsiTheme="minorHAnsi" w:cs="Lucida Grande"/>
          <w:color w:val="000000"/>
          <w:sz w:val="24"/>
          <w:szCs w:val="24"/>
        </w:rPr>
        <w:t>.</w:t>
      </w:r>
    </w:p>
    <w:p w:rsidR="00520709" w:rsidRPr="00264270" w:rsidRDefault="00520709" w:rsidP="00264270">
      <w:pPr>
        <w:spacing w:after="0" w:line="240" w:lineRule="auto"/>
        <w:jc w:val="both"/>
        <w:rPr>
          <w:rFonts w:asciiTheme="minorHAnsi" w:hAnsiTheme="minorHAnsi" w:cs="Lucida Grande"/>
          <w:color w:val="000000"/>
          <w:sz w:val="24"/>
          <w:szCs w:val="24"/>
        </w:rPr>
      </w:pPr>
    </w:p>
    <w:p w:rsidR="00264270" w:rsidRPr="00264270" w:rsidRDefault="00520709" w:rsidP="002642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Las </w:t>
      </w:r>
      <w:r w:rsidR="00F13352">
        <w:rPr>
          <w:rFonts w:asciiTheme="minorHAnsi" w:hAnsiTheme="minorHAnsi" w:cs="Lucida Grande"/>
          <w:color w:val="000000"/>
          <w:sz w:val="24"/>
          <w:szCs w:val="24"/>
        </w:rPr>
        <w:t>hortalizas</w:t>
      </w:r>
      <w:r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 que dan se contabilizan para el balance de apertura como un solo activo biológico hasta el punto de cosecha o recolec</w:t>
      </w:r>
      <w:r w:rsidR="00773882">
        <w:rPr>
          <w:rFonts w:asciiTheme="minorHAnsi" w:hAnsiTheme="minorHAnsi" w:cs="Lucida Grande"/>
          <w:color w:val="000000"/>
          <w:sz w:val="24"/>
          <w:szCs w:val="24"/>
        </w:rPr>
        <w:t>ción. El 31 de diciembre de 2014</w:t>
      </w:r>
      <w:r w:rsidRPr="00264270">
        <w:rPr>
          <w:rFonts w:asciiTheme="minorHAnsi" w:hAnsiTheme="minorHAnsi" w:cs="Lucida Grande"/>
          <w:color w:val="000000"/>
          <w:sz w:val="24"/>
          <w:szCs w:val="24"/>
        </w:rPr>
        <w:t>, la Compañía debe reconocer el incremento en lo</w:t>
      </w:r>
      <w:r w:rsidR="00F13352">
        <w:rPr>
          <w:rFonts w:asciiTheme="minorHAnsi" w:hAnsiTheme="minorHAnsi" w:cs="Lucida Grande"/>
          <w:color w:val="000000"/>
          <w:sz w:val="24"/>
          <w:szCs w:val="24"/>
        </w:rPr>
        <w:t>s activos biológicos.</w:t>
      </w:r>
    </w:p>
    <w:p w:rsidR="003400B2" w:rsidRPr="00264270" w:rsidRDefault="00264270" w:rsidP="00264270">
      <w:pPr>
        <w:pStyle w:val="Prrafodelista"/>
        <w:spacing w:after="0" w:line="240" w:lineRule="auto"/>
        <w:ind w:left="0"/>
        <w:jc w:val="both"/>
        <w:rPr>
          <w:rFonts w:asciiTheme="minorHAnsi" w:hAnsiTheme="minorHAnsi" w:cs="Lucida Grande"/>
          <w:color w:val="000000"/>
          <w:sz w:val="24"/>
          <w:szCs w:val="24"/>
        </w:rPr>
      </w:pPr>
      <w:r w:rsidRPr="00264270">
        <w:rPr>
          <w:rFonts w:asciiTheme="minorHAnsi" w:hAnsiTheme="minorHAnsi" w:cs="Lucida Grande"/>
          <w:color w:val="000000"/>
          <w:sz w:val="24"/>
          <w:szCs w:val="24"/>
        </w:rPr>
        <w:t xml:space="preserve">La vida de una </w:t>
      </w:r>
      <w:r w:rsidR="00F13352">
        <w:rPr>
          <w:rFonts w:asciiTheme="minorHAnsi" w:hAnsiTheme="minorHAnsi" w:cs="Lucida Grande"/>
          <w:color w:val="000000"/>
          <w:sz w:val="24"/>
          <w:szCs w:val="24"/>
        </w:rPr>
        <w:t>hortaliza es de aproximadamente 2 meses</w:t>
      </w:r>
      <w:r w:rsidRPr="00264270">
        <w:rPr>
          <w:rFonts w:asciiTheme="minorHAnsi" w:hAnsiTheme="minorHAnsi" w:cs="Lucida Grande"/>
          <w:color w:val="000000"/>
          <w:sz w:val="24"/>
          <w:szCs w:val="24"/>
        </w:rPr>
        <w:t>.</w:t>
      </w:r>
    </w:p>
    <w:p w:rsidR="00264270" w:rsidRPr="00D002E4" w:rsidRDefault="00264270" w:rsidP="00D002E4">
      <w:pPr>
        <w:pStyle w:val="Prrafodelista"/>
        <w:spacing w:after="0" w:line="240" w:lineRule="auto"/>
        <w:ind w:left="0"/>
        <w:jc w:val="both"/>
        <w:rPr>
          <w:rFonts w:asciiTheme="minorHAnsi" w:hAnsiTheme="minorHAnsi" w:cs="Lucida Grande"/>
          <w:color w:val="000000"/>
          <w:sz w:val="24"/>
          <w:szCs w:val="24"/>
        </w:rPr>
      </w:pPr>
    </w:p>
    <w:p w:rsidR="000D1889" w:rsidRDefault="0003753E" w:rsidP="00D002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Aves</w:t>
      </w:r>
      <w:r w:rsidR="000D1889" w:rsidRPr="00D002E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8259D" w:rsidRPr="00D002E4" w:rsidRDefault="00A8259D" w:rsidP="00D002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64270" w:rsidRPr="00D002E4" w:rsidRDefault="00D10A16" w:rsidP="00D002E4">
      <w:pPr>
        <w:pStyle w:val="Prrafodelista"/>
        <w:spacing w:after="0" w:line="240" w:lineRule="auto"/>
        <w:ind w:left="0"/>
        <w:jc w:val="both"/>
        <w:rPr>
          <w:rFonts w:asciiTheme="minorHAnsi" w:hAnsiTheme="minorHAnsi" w:cs="Lucida Grande"/>
          <w:color w:val="000000"/>
          <w:sz w:val="24"/>
          <w:szCs w:val="24"/>
        </w:rPr>
      </w:pPr>
      <w:r w:rsidRPr="00D002E4">
        <w:rPr>
          <w:rFonts w:asciiTheme="minorHAnsi" w:hAnsiTheme="minorHAnsi" w:cs="Lucida Grande"/>
          <w:color w:val="000000"/>
          <w:sz w:val="24"/>
          <w:szCs w:val="24"/>
        </w:rPr>
        <w:t xml:space="preserve">La Compañía </w:t>
      </w:r>
      <w:r w:rsidR="00A8259D">
        <w:rPr>
          <w:rFonts w:asciiTheme="minorHAnsi" w:hAnsiTheme="minorHAnsi" w:cs="Lucida Grande"/>
          <w:color w:val="000000"/>
          <w:sz w:val="24"/>
          <w:szCs w:val="24"/>
        </w:rPr>
        <w:t>realiza levante de</w:t>
      </w:r>
      <w:r w:rsidRPr="00D002E4">
        <w:rPr>
          <w:rFonts w:asciiTheme="minorHAnsi" w:hAnsiTheme="minorHAnsi" w:cs="Lucida Grande"/>
          <w:color w:val="000000"/>
          <w:sz w:val="24"/>
          <w:szCs w:val="24"/>
        </w:rPr>
        <w:t xml:space="preserve"> </w:t>
      </w:r>
      <w:r w:rsidR="0003753E">
        <w:rPr>
          <w:rFonts w:asciiTheme="minorHAnsi" w:hAnsiTheme="minorHAnsi" w:cs="Lucida Grande"/>
          <w:color w:val="000000"/>
          <w:sz w:val="24"/>
          <w:szCs w:val="24"/>
        </w:rPr>
        <w:t>avestruz</w:t>
      </w:r>
      <w:r w:rsidRPr="00D002E4">
        <w:rPr>
          <w:rFonts w:asciiTheme="minorHAnsi" w:hAnsiTheme="minorHAnsi" w:cs="Lucida Grande"/>
          <w:color w:val="000000"/>
          <w:sz w:val="24"/>
          <w:szCs w:val="24"/>
        </w:rPr>
        <w:t xml:space="preserve"> para la </w:t>
      </w:r>
      <w:r w:rsidR="0003753E">
        <w:rPr>
          <w:rFonts w:asciiTheme="minorHAnsi" w:hAnsiTheme="minorHAnsi" w:cs="Lucida Grande"/>
          <w:color w:val="000000"/>
          <w:sz w:val="24"/>
          <w:szCs w:val="24"/>
        </w:rPr>
        <w:t>comercialización en restaurantes de comida exótica</w:t>
      </w:r>
      <w:r w:rsidR="00A8259D">
        <w:rPr>
          <w:rFonts w:asciiTheme="minorHAnsi" w:hAnsiTheme="minorHAnsi" w:cs="Lucida Grande"/>
          <w:color w:val="000000"/>
          <w:sz w:val="24"/>
          <w:szCs w:val="24"/>
        </w:rPr>
        <w:t>, la venta es de carne en pie</w:t>
      </w:r>
      <w:r w:rsidRPr="00D002E4">
        <w:rPr>
          <w:rFonts w:asciiTheme="minorHAnsi" w:hAnsiTheme="minorHAnsi" w:cs="Lucida Grande"/>
          <w:color w:val="000000"/>
          <w:sz w:val="24"/>
          <w:szCs w:val="24"/>
        </w:rPr>
        <w:t>.</w:t>
      </w:r>
    </w:p>
    <w:p w:rsidR="00D10A16" w:rsidRPr="00D002E4" w:rsidRDefault="00D10A16" w:rsidP="00D002E4">
      <w:pPr>
        <w:pStyle w:val="Prrafodelista"/>
        <w:spacing w:after="0" w:line="240" w:lineRule="auto"/>
        <w:ind w:left="0"/>
        <w:jc w:val="both"/>
        <w:rPr>
          <w:rFonts w:asciiTheme="minorHAnsi" w:hAnsiTheme="minorHAnsi" w:cs="Lucida Grande"/>
          <w:color w:val="000000"/>
          <w:sz w:val="24"/>
          <w:szCs w:val="24"/>
        </w:rPr>
      </w:pPr>
    </w:p>
    <w:p w:rsidR="00D10A16" w:rsidRPr="00D002E4" w:rsidRDefault="00D10A16" w:rsidP="00D002E4">
      <w:pPr>
        <w:pStyle w:val="Prrafodelista"/>
        <w:spacing w:after="0" w:line="240" w:lineRule="auto"/>
        <w:ind w:left="0"/>
        <w:jc w:val="both"/>
        <w:rPr>
          <w:rFonts w:asciiTheme="minorHAnsi" w:hAnsiTheme="minorHAnsi" w:cs="Lucida Grande"/>
          <w:color w:val="000000"/>
          <w:sz w:val="24"/>
          <w:szCs w:val="24"/>
        </w:rPr>
      </w:pPr>
      <w:r w:rsidRPr="00D002E4">
        <w:rPr>
          <w:rFonts w:asciiTheme="minorHAnsi" w:hAnsiTheme="minorHAnsi" w:cs="Lucida Grande"/>
          <w:color w:val="000000"/>
          <w:sz w:val="24"/>
          <w:szCs w:val="24"/>
        </w:rPr>
        <w:lastRenderedPageBreak/>
        <w:t>El saldo reconocido bajo PCGA locales corresp</w:t>
      </w:r>
      <w:r w:rsidR="0003753E">
        <w:rPr>
          <w:rFonts w:asciiTheme="minorHAnsi" w:hAnsiTheme="minorHAnsi" w:cs="Lucida Grande"/>
          <w:color w:val="000000"/>
          <w:sz w:val="24"/>
          <w:szCs w:val="24"/>
        </w:rPr>
        <w:t>onde al costo de adquisición de las aves</w:t>
      </w:r>
      <w:r w:rsidRPr="00D002E4">
        <w:rPr>
          <w:rFonts w:asciiTheme="minorHAnsi" w:hAnsiTheme="minorHAnsi" w:cs="Lucida Grande"/>
          <w:color w:val="000000"/>
          <w:sz w:val="24"/>
          <w:szCs w:val="24"/>
        </w:rPr>
        <w:t>.</w:t>
      </w:r>
    </w:p>
    <w:p w:rsidR="00D10A16" w:rsidRPr="00D002E4" w:rsidRDefault="00D10A16" w:rsidP="00D002E4">
      <w:pPr>
        <w:pStyle w:val="Prrafodelista"/>
        <w:spacing w:after="0" w:line="240" w:lineRule="auto"/>
        <w:ind w:left="0"/>
        <w:jc w:val="both"/>
        <w:rPr>
          <w:rFonts w:asciiTheme="minorHAnsi" w:hAnsiTheme="minorHAnsi" w:cs="Lucida Grande"/>
          <w:color w:val="000000"/>
          <w:sz w:val="24"/>
          <w:szCs w:val="24"/>
        </w:rPr>
      </w:pPr>
    </w:p>
    <w:p w:rsidR="00D10A16" w:rsidRPr="00D002E4" w:rsidRDefault="00773882" w:rsidP="00D002E4">
      <w:pPr>
        <w:pStyle w:val="Prrafodelista"/>
        <w:spacing w:after="0" w:line="240" w:lineRule="auto"/>
        <w:ind w:left="0"/>
        <w:jc w:val="both"/>
        <w:rPr>
          <w:rFonts w:asciiTheme="minorHAnsi" w:hAnsiTheme="minorHAnsi" w:cs="Lucida Grande"/>
          <w:color w:val="000000"/>
          <w:sz w:val="24"/>
          <w:szCs w:val="24"/>
        </w:rPr>
      </w:pPr>
      <w:r>
        <w:rPr>
          <w:rFonts w:asciiTheme="minorHAnsi" w:hAnsiTheme="minorHAnsi" w:cs="Lucida Grande"/>
          <w:color w:val="000000"/>
          <w:sz w:val="24"/>
          <w:szCs w:val="24"/>
        </w:rPr>
        <w:t>El 31 de diciembre de 2014</w:t>
      </w:r>
      <w:r w:rsidR="00EE70B2" w:rsidRPr="00D002E4">
        <w:rPr>
          <w:rFonts w:asciiTheme="minorHAnsi" w:hAnsiTheme="minorHAnsi" w:cs="Lucida Grande"/>
          <w:color w:val="000000"/>
          <w:sz w:val="24"/>
          <w:szCs w:val="24"/>
        </w:rPr>
        <w:t xml:space="preserve">, cuando el </w:t>
      </w:r>
      <w:r w:rsidR="008C2491">
        <w:rPr>
          <w:rFonts w:asciiTheme="minorHAnsi" w:hAnsiTheme="minorHAnsi" w:cs="Lucida Grande"/>
          <w:color w:val="000000"/>
          <w:sz w:val="24"/>
          <w:szCs w:val="24"/>
        </w:rPr>
        <w:t>costo</w:t>
      </w:r>
      <w:r w:rsidR="00EE70B2" w:rsidRPr="00D002E4">
        <w:rPr>
          <w:rFonts w:asciiTheme="minorHAnsi" w:hAnsiTheme="minorHAnsi" w:cs="Lucida Grande"/>
          <w:color w:val="000000"/>
          <w:sz w:val="24"/>
          <w:szCs w:val="24"/>
        </w:rPr>
        <w:t xml:space="preserve"> de las </w:t>
      </w:r>
      <w:r w:rsidR="00A8259D">
        <w:rPr>
          <w:rFonts w:asciiTheme="minorHAnsi" w:hAnsiTheme="minorHAnsi" w:cs="Lucida Grande"/>
          <w:color w:val="000000"/>
          <w:sz w:val="24"/>
          <w:szCs w:val="24"/>
        </w:rPr>
        <w:t>8</w:t>
      </w:r>
      <w:r w:rsidR="0003753E">
        <w:rPr>
          <w:rFonts w:asciiTheme="minorHAnsi" w:hAnsiTheme="minorHAnsi" w:cs="Lucida Grande"/>
          <w:color w:val="000000"/>
          <w:sz w:val="24"/>
          <w:szCs w:val="24"/>
        </w:rPr>
        <w:t xml:space="preserve"> ave</w:t>
      </w:r>
      <w:r w:rsidR="00EE70B2" w:rsidRPr="00D002E4">
        <w:rPr>
          <w:rFonts w:asciiTheme="minorHAnsi" w:hAnsiTheme="minorHAnsi" w:cs="Lucida Grande"/>
          <w:color w:val="000000"/>
          <w:sz w:val="24"/>
          <w:szCs w:val="24"/>
        </w:rPr>
        <w:t>s qu</w:t>
      </w:r>
      <w:r w:rsidR="00F16795">
        <w:rPr>
          <w:rFonts w:asciiTheme="minorHAnsi" w:hAnsiTheme="minorHAnsi" w:cs="Lucida Grande"/>
          <w:color w:val="000000"/>
          <w:sz w:val="24"/>
          <w:szCs w:val="24"/>
        </w:rPr>
        <w:t>e tiene de la Compañía es de $6</w:t>
      </w:r>
      <w:r w:rsidR="00EE70B2" w:rsidRPr="00D002E4">
        <w:rPr>
          <w:rFonts w:asciiTheme="minorHAnsi" w:hAnsiTheme="minorHAnsi" w:cs="Lucida Grande"/>
          <w:color w:val="000000"/>
          <w:sz w:val="24"/>
          <w:szCs w:val="24"/>
        </w:rPr>
        <w:t xml:space="preserve">.500. </w:t>
      </w:r>
    </w:p>
    <w:p w:rsidR="00EE70B2" w:rsidRPr="00D002E4" w:rsidRDefault="00EE70B2" w:rsidP="00D002E4">
      <w:pPr>
        <w:pStyle w:val="Prrafodelista"/>
        <w:spacing w:after="0" w:line="240" w:lineRule="auto"/>
        <w:ind w:left="0"/>
        <w:jc w:val="both"/>
        <w:rPr>
          <w:rFonts w:asciiTheme="minorHAnsi" w:hAnsiTheme="minorHAnsi" w:cs="Lucida Grande"/>
          <w:color w:val="000000"/>
          <w:sz w:val="24"/>
          <w:szCs w:val="24"/>
        </w:rPr>
      </w:pPr>
    </w:p>
    <w:p w:rsidR="000A2E07" w:rsidRPr="003400B2" w:rsidRDefault="000A2E07" w:rsidP="000A2E07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Propiedades, planta y equipo</w:t>
      </w: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:</w:t>
      </w:r>
    </w:p>
    <w:p w:rsidR="007C2914" w:rsidRDefault="007C2914" w:rsidP="007C2914">
      <w:pPr>
        <w:pStyle w:val="Prrafodelist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7C2914" w:rsidRPr="007C2914" w:rsidRDefault="007C2914" w:rsidP="007C291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Construcciones y </w:t>
      </w:r>
      <w:r w:rsidR="00FA2CFC">
        <w:rPr>
          <w:rFonts w:cstheme="minorHAnsi"/>
          <w:b/>
          <w:sz w:val="24"/>
          <w:szCs w:val="24"/>
          <w:u w:val="single"/>
        </w:rPr>
        <w:t>edificaciones</w:t>
      </w:r>
      <w:r w:rsidRPr="007C2914">
        <w:rPr>
          <w:rFonts w:cstheme="minorHAnsi"/>
          <w:b/>
          <w:sz w:val="24"/>
          <w:szCs w:val="24"/>
          <w:u w:val="single"/>
        </w:rPr>
        <w:t xml:space="preserve">: </w:t>
      </w:r>
    </w:p>
    <w:p w:rsidR="002707B3" w:rsidRDefault="007C2914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2914">
        <w:rPr>
          <w:rFonts w:cstheme="minorHAnsi"/>
          <w:sz w:val="24"/>
          <w:szCs w:val="24"/>
        </w:rPr>
        <w:t>Los inmuebles corresponden a:</w:t>
      </w:r>
    </w:p>
    <w:p w:rsidR="001A446A" w:rsidRDefault="001A446A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462"/>
        <w:gridCol w:w="1696"/>
        <w:gridCol w:w="1886"/>
        <w:gridCol w:w="1618"/>
      </w:tblGrid>
      <w:tr w:rsidR="007102F9" w:rsidRPr="001A446A" w:rsidTr="007102F9">
        <w:tc>
          <w:tcPr>
            <w:tcW w:w="3462" w:type="dxa"/>
          </w:tcPr>
          <w:p w:rsidR="007102F9" w:rsidRPr="001A446A" w:rsidRDefault="007102F9" w:rsidP="001A446A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A446A">
              <w:rPr>
                <w:rFonts w:cstheme="minorHAnsi"/>
                <w:b/>
                <w:i/>
                <w:sz w:val="24"/>
                <w:szCs w:val="24"/>
              </w:rPr>
              <w:t>Inmueble</w:t>
            </w:r>
          </w:p>
        </w:tc>
        <w:tc>
          <w:tcPr>
            <w:tcW w:w="1696" w:type="dxa"/>
          </w:tcPr>
          <w:p w:rsidR="007102F9" w:rsidRPr="001A446A" w:rsidRDefault="007102F9" w:rsidP="001A446A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Valor en Libros</w:t>
            </w:r>
          </w:p>
        </w:tc>
        <w:tc>
          <w:tcPr>
            <w:tcW w:w="1886" w:type="dxa"/>
          </w:tcPr>
          <w:p w:rsidR="007102F9" w:rsidRDefault="007102F9" w:rsidP="001A446A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Depreciación</w:t>
            </w:r>
          </w:p>
        </w:tc>
        <w:tc>
          <w:tcPr>
            <w:tcW w:w="1618" w:type="dxa"/>
          </w:tcPr>
          <w:p w:rsidR="007102F9" w:rsidRDefault="007102F9" w:rsidP="001A446A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Avalúo</w:t>
            </w:r>
          </w:p>
        </w:tc>
      </w:tr>
      <w:tr w:rsidR="007102F9" w:rsidTr="007102F9">
        <w:tc>
          <w:tcPr>
            <w:tcW w:w="3462" w:type="dxa"/>
          </w:tcPr>
          <w:p w:rsidR="007102F9" w:rsidRDefault="007102F9" w:rsidP="007C291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07B3">
              <w:rPr>
                <w:rFonts w:cstheme="minorHAnsi"/>
                <w:sz w:val="24"/>
                <w:szCs w:val="24"/>
              </w:rPr>
              <w:t>Terre</w:t>
            </w: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696" w:type="dxa"/>
          </w:tcPr>
          <w:p w:rsidR="007102F9" w:rsidRDefault="007102F9" w:rsidP="001A446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2707B3">
              <w:rPr>
                <w:rFonts w:cstheme="minorHAnsi"/>
                <w:sz w:val="24"/>
                <w:szCs w:val="24"/>
              </w:rPr>
              <w:t>.000</w:t>
            </w:r>
          </w:p>
        </w:tc>
        <w:tc>
          <w:tcPr>
            <w:tcW w:w="1886" w:type="dxa"/>
          </w:tcPr>
          <w:p w:rsidR="007102F9" w:rsidRDefault="007102F9" w:rsidP="007102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7102F9" w:rsidRDefault="007102F9" w:rsidP="007102F9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35.000</w:t>
            </w:r>
          </w:p>
        </w:tc>
      </w:tr>
      <w:tr w:rsidR="007102F9" w:rsidTr="007102F9">
        <w:tc>
          <w:tcPr>
            <w:tcW w:w="3462" w:type="dxa"/>
          </w:tcPr>
          <w:p w:rsidR="007102F9" w:rsidRDefault="007102F9" w:rsidP="007C291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2707B3">
              <w:rPr>
                <w:rFonts w:cstheme="minorHAnsi"/>
                <w:sz w:val="24"/>
                <w:szCs w:val="24"/>
              </w:rPr>
              <w:t>dificio</w:t>
            </w:r>
          </w:p>
        </w:tc>
        <w:tc>
          <w:tcPr>
            <w:tcW w:w="1696" w:type="dxa"/>
          </w:tcPr>
          <w:p w:rsidR="007102F9" w:rsidRDefault="007102F9" w:rsidP="001A446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2707B3">
              <w:rPr>
                <w:rFonts w:cstheme="minorHAnsi"/>
                <w:sz w:val="24"/>
                <w:szCs w:val="24"/>
              </w:rPr>
              <w:t>.000</w:t>
            </w:r>
          </w:p>
        </w:tc>
        <w:tc>
          <w:tcPr>
            <w:tcW w:w="1886" w:type="dxa"/>
          </w:tcPr>
          <w:p w:rsidR="007102F9" w:rsidRDefault="007102F9" w:rsidP="001A446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4.000</w:t>
            </w:r>
          </w:p>
        </w:tc>
        <w:tc>
          <w:tcPr>
            <w:tcW w:w="1618" w:type="dxa"/>
          </w:tcPr>
          <w:p w:rsidR="007102F9" w:rsidRDefault="007102F9" w:rsidP="001A446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13.000</w:t>
            </w:r>
          </w:p>
        </w:tc>
      </w:tr>
      <w:tr w:rsidR="007102F9" w:rsidTr="007102F9">
        <w:tc>
          <w:tcPr>
            <w:tcW w:w="3462" w:type="dxa"/>
          </w:tcPr>
          <w:p w:rsidR="007102F9" w:rsidRDefault="007102F9" w:rsidP="007C291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2707B3">
              <w:rPr>
                <w:rFonts w:cstheme="minorHAnsi"/>
                <w:sz w:val="24"/>
                <w:szCs w:val="24"/>
              </w:rPr>
              <w:t>ficinas</w:t>
            </w:r>
            <w:r>
              <w:rPr>
                <w:rFonts w:cstheme="minorHAnsi"/>
                <w:sz w:val="24"/>
                <w:szCs w:val="24"/>
              </w:rPr>
              <w:t xml:space="preserve"> arrendamientos a terceros</w:t>
            </w:r>
          </w:p>
        </w:tc>
        <w:tc>
          <w:tcPr>
            <w:tcW w:w="1696" w:type="dxa"/>
          </w:tcPr>
          <w:p w:rsidR="007102F9" w:rsidRDefault="007102F9" w:rsidP="001A446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2707B3">
              <w:rPr>
                <w:rFonts w:cstheme="minorHAnsi"/>
                <w:sz w:val="24"/>
                <w:szCs w:val="24"/>
              </w:rPr>
              <w:t>.000</w:t>
            </w:r>
          </w:p>
        </w:tc>
        <w:tc>
          <w:tcPr>
            <w:tcW w:w="1886" w:type="dxa"/>
          </w:tcPr>
          <w:p w:rsidR="007102F9" w:rsidRDefault="007102F9" w:rsidP="001A446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3.000</w:t>
            </w:r>
          </w:p>
        </w:tc>
        <w:tc>
          <w:tcPr>
            <w:tcW w:w="1618" w:type="dxa"/>
          </w:tcPr>
          <w:p w:rsidR="007102F9" w:rsidRDefault="007102F9" w:rsidP="001A446A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12.000</w:t>
            </w:r>
          </w:p>
        </w:tc>
      </w:tr>
    </w:tbl>
    <w:p w:rsidR="007C2914" w:rsidRPr="001A446A" w:rsidRDefault="007C2914" w:rsidP="001A44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446A">
        <w:rPr>
          <w:rFonts w:cstheme="minorHAnsi"/>
          <w:sz w:val="24"/>
          <w:szCs w:val="24"/>
        </w:rPr>
        <w:t>En el terreno se encuentra la planta de la empresa.</w:t>
      </w:r>
    </w:p>
    <w:p w:rsidR="00532196" w:rsidRDefault="00532196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02F9" w:rsidRDefault="007C2914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2914">
        <w:rPr>
          <w:rFonts w:cstheme="minorHAnsi"/>
          <w:sz w:val="24"/>
          <w:szCs w:val="24"/>
        </w:rPr>
        <w:t xml:space="preserve">La compañía hará uso de la exención indicada en la </w:t>
      </w:r>
      <w:r w:rsidR="007E4F5C">
        <w:rPr>
          <w:rFonts w:cstheme="minorHAnsi"/>
          <w:sz w:val="24"/>
          <w:szCs w:val="24"/>
        </w:rPr>
        <w:t>sección 35</w:t>
      </w:r>
      <w:r w:rsidRPr="007C2914">
        <w:rPr>
          <w:rFonts w:cstheme="minorHAnsi"/>
          <w:sz w:val="24"/>
          <w:szCs w:val="24"/>
        </w:rPr>
        <w:t xml:space="preserve"> de usar como costo atribuido el valor razonable a la fecha de la transición. </w:t>
      </w:r>
    </w:p>
    <w:p w:rsidR="007102F9" w:rsidRDefault="007102F9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2914" w:rsidRPr="007C2914" w:rsidRDefault="007C2914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2914">
        <w:rPr>
          <w:rFonts w:cstheme="minorHAnsi"/>
          <w:sz w:val="24"/>
          <w:szCs w:val="24"/>
        </w:rPr>
        <w:t>De todas formas, la empresa valorará el inmueble en arrendamiento como una propiedad de inversión a valor razonable. El análisis del activo entregado en arrendamiento concluyó que era operativo.</w:t>
      </w:r>
    </w:p>
    <w:p w:rsidR="007C2914" w:rsidRDefault="007C2914" w:rsidP="007C2914">
      <w:pPr>
        <w:pStyle w:val="Prrafode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7C2914" w:rsidRPr="00AD1B70" w:rsidRDefault="007C2914" w:rsidP="007C291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D1B70">
        <w:rPr>
          <w:rFonts w:cstheme="minorHAnsi"/>
          <w:b/>
          <w:sz w:val="24"/>
          <w:szCs w:val="24"/>
          <w:u w:val="single"/>
        </w:rPr>
        <w:t>Maquinaria</w:t>
      </w:r>
      <w:r w:rsidR="00532196" w:rsidRPr="00AD1B70">
        <w:rPr>
          <w:rFonts w:cstheme="minorHAnsi"/>
          <w:b/>
          <w:sz w:val="24"/>
          <w:szCs w:val="24"/>
          <w:u w:val="single"/>
        </w:rPr>
        <w:t>:</w:t>
      </w:r>
      <w:r w:rsidRPr="00AD1B70">
        <w:rPr>
          <w:rFonts w:cstheme="minorHAnsi"/>
          <w:b/>
          <w:sz w:val="24"/>
          <w:szCs w:val="24"/>
          <w:u w:val="single"/>
        </w:rPr>
        <w:t xml:space="preserve"> </w:t>
      </w:r>
    </w:p>
    <w:p w:rsidR="007C2914" w:rsidRPr="007C2914" w:rsidRDefault="007C2914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2914">
        <w:rPr>
          <w:rFonts w:cstheme="minorHAnsi"/>
          <w:sz w:val="24"/>
          <w:szCs w:val="24"/>
        </w:rPr>
        <w:t>Se compró el 1º de enero del 200</w:t>
      </w:r>
      <w:r w:rsidR="00A94C9D">
        <w:rPr>
          <w:rFonts w:cstheme="minorHAnsi"/>
          <w:sz w:val="24"/>
          <w:szCs w:val="24"/>
        </w:rPr>
        <w:t>8</w:t>
      </w:r>
      <w:r w:rsidRPr="007C2914">
        <w:rPr>
          <w:rFonts w:cstheme="minorHAnsi"/>
          <w:sz w:val="24"/>
          <w:szCs w:val="24"/>
        </w:rPr>
        <w:t xml:space="preserve"> y se ha venido depreciando con base en el método de línea recta y su vida útil inicial estimada era de 15 años. El costo incluyó diferencia en cambio capitalizada por $1.200. Durante el tiempo de uso, se han capitalizado reparaciones y mejoras por $5.600. Esta máquina </w:t>
      </w:r>
      <w:r w:rsidR="00311593">
        <w:rPr>
          <w:rFonts w:cstheme="minorHAnsi"/>
          <w:sz w:val="24"/>
          <w:szCs w:val="24"/>
        </w:rPr>
        <w:t>se estima desmantelar en 15 años</w:t>
      </w:r>
      <w:r w:rsidRPr="007C2914">
        <w:rPr>
          <w:rFonts w:cstheme="minorHAnsi"/>
          <w:sz w:val="24"/>
          <w:szCs w:val="24"/>
        </w:rPr>
        <w:t xml:space="preserve">. </w:t>
      </w:r>
      <w:r w:rsidR="000A6410">
        <w:rPr>
          <w:rFonts w:cstheme="minorHAnsi"/>
          <w:sz w:val="24"/>
          <w:szCs w:val="24"/>
        </w:rPr>
        <w:t>El valor actual del desmantelamiento es de $4.000, e</w:t>
      </w:r>
      <w:r w:rsidRPr="007C2914">
        <w:rPr>
          <w:rFonts w:cstheme="minorHAnsi"/>
          <w:sz w:val="24"/>
          <w:szCs w:val="24"/>
        </w:rPr>
        <w:t xml:space="preserve">stos costos se espera que crezcan a una tasa anual del 6%. La </w:t>
      </w:r>
      <w:r w:rsidR="00311593">
        <w:rPr>
          <w:rFonts w:cstheme="minorHAnsi"/>
          <w:sz w:val="24"/>
          <w:szCs w:val="24"/>
        </w:rPr>
        <w:t>tasa de descuento se estima en 8</w:t>
      </w:r>
      <w:r w:rsidRPr="007C2914">
        <w:rPr>
          <w:rFonts w:cstheme="minorHAnsi"/>
          <w:sz w:val="24"/>
          <w:szCs w:val="24"/>
        </w:rPr>
        <w:t>% efectivo a</w:t>
      </w:r>
      <w:r w:rsidR="00311593">
        <w:rPr>
          <w:rFonts w:cstheme="minorHAnsi"/>
          <w:sz w:val="24"/>
          <w:szCs w:val="24"/>
        </w:rPr>
        <w:t>nual.</w:t>
      </w:r>
    </w:p>
    <w:p w:rsidR="00724811" w:rsidRDefault="00724811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2914" w:rsidRPr="007C2914" w:rsidRDefault="007C2914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2914">
        <w:rPr>
          <w:rFonts w:cstheme="minorHAnsi"/>
          <w:sz w:val="24"/>
          <w:szCs w:val="24"/>
        </w:rPr>
        <w:t xml:space="preserve">La </w:t>
      </w:r>
      <w:r w:rsidR="00B8101E">
        <w:rPr>
          <w:rFonts w:cstheme="minorHAnsi"/>
          <w:sz w:val="24"/>
          <w:szCs w:val="24"/>
        </w:rPr>
        <w:t>depreciación acumulada es de $15</w:t>
      </w:r>
      <w:r w:rsidRPr="007C2914">
        <w:rPr>
          <w:rFonts w:cstheme="minorHAnsi"/>
          <w:sz w:val="24"/>
          <w:szCs w:val="24"/>
        </w:rPr>
        <w:t xml:space="preserve">.000. </w:t>
      </w:r>
    </w:p>
    <w:p w:rsidR="00724811" w:rsidRDefault="00724811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2914" w:rsidRPr="007C2914" w:rsidRDefault="007C2914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2914">
        <w:rPr>
          <w:rFonts w:cstheme="minorHAnsi"/>
          <w:sz w:val="24"/>
          <w:szCs w:val="24"/>
        </w:rPr>
        <w:t>En la fecha de la transición, se realizó un avalúo de la maqui</w:t>
      </w:r>
      <w:r w:rsidR="003F4318">
        <w:rPr>
          <w:rFonts w:cstheme="minorHAnsi"/>
          <w:sz w:val="24"/>
          <w:szCs w:val="24"/>
        </w:rPr>
        <w:t>naria que arrojó un valor de $55</w:t>
      </w:r>
      <w:r w:rsidRPr="007C2914">
        <w:rPr>
          <w:rFonts w:cstheme="minorHAnsi"/>
          <w:sz w:val="24"/>
          <w:szCs w:val="24"/>
        </w:rPr>
        <w:t>.000 y, según cálculo de la vida úti</w:t>
      </w:r>
      <w:r w:rsidR="000A6410">
        <w:rPr>
          <w:rFonts w:cstheme="minorHAnsi"/>
          <w:sz w:val="24"/>
          <w:szCs w:val="24"/>
        </w:rPr>
        <w:t>l técnica, la remanente es de 15</w:t>
      </w:r>
      <w:r w:rsidRPr="007C2914">
        <w:rPr>
          <w:rFonts w:cstheme="minorHAnsi"/>
          <w:sz w:val="24"/>
          <w:szCs w:val="24"/>
        </w:rPr>
        <w:t xml:space="preserve"> años.</w:t>
      </w:r>
    </w:p>
    <w:p w:rsidR="00724811" w:rsidRDefault="00724811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2914" w:rsidRPr="007C2914" w:rsidRDefault="002E3218" w:rsidP="007C291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</w:t>
      </w:r>
      <w:r w:rsidR="007C2914" w:rsidRPr="007C2914">
        <w:rPr>
          <w:rFonts w:cstheme="minorHAnsi"/>
          <w:sz w:val="24"/>
          <w:szCs w:val="24"/>
        </w:rPr>
        <w:t>ompañía hará uso de la exención de usar el valor razonable como costo atribuido. Además, se debe calcular la provisión para el desmantelamiento y retiro de la máquina, usando la exención establecida para esta partida.</w:t>
      </w:r>
    </w:p>
    <w:p w:rsidR="002E3218" w:rsidRDefault="002E3218" w:rsidP="0067633C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3F4318" w:rsidRDefault="003F4318" w:rsidP="0067633C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3F4318" w:rsidRDefault="003F4318" w:rsidP="0067633C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3F4318" w:rsidRDefault="003F4318" w:rsidP="0067633C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7C2914" w:rsidRDefault="007C2914" w:rsidP="006763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376138">
        <w:rPr>
          <w:rFonts w:cstheme="minorHAnsi"/>
          <w:b/>
          <w:sz w:val="24"/>
          <w:szCs w:val="24"/>
          <w:u w:val="single"/>
        </w:rPr>
        <w:t>Muebles y enseres</w:t>
      </w:r>
      <w:r w:rsidR="00376138" w:rsidRPr="00376138">
        <w:rPr>
          <w:rFonts w:cstheme="minorHAnsi"/>
          <w:b/>
          <w:sz w:val="24"/>
          <w:szCs w:val="24"/>
          <w:u w:val="single"/>
        </w:rPr>
        <w:t>:</w:t>
      </w:r>
      <w:r w:rsidRPr="00376138">
        <w:rPr>
          <w:rFonts w:cstheme="minorHAnsi"/>
          <w:b/>
          <w:sz w:val="24"/>
          <w:szCs w:val="24"/>
          <w:u w:val="single"/>
        </w:rPr>
        <w:t xml:space="preserve"> </w:t>
      </w:r>
    </w:p>
    <w:p w:rsidR="00EC7B01" w:rsidRPr="00376138" w:rsidRDefault="00EC7B01" w:rsidP="006763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462"/>
        <w:gridCol w:w="1696"/>
        <w:gridCol w:w="1886"/>
        <w:gridCol w:w="1618"/>
      </w:tblGrid>
      <w:tr w:rsidR="00EC7B01" w:rsidRPr="001A446A" w:rsidTr="004A7670">
        <w:tc>
          <w:tcPr>
            <w:tcW w:w="3462" w:type="dxa"/>
          </w:tcPr>
          <w:p w:rsidR="00EC7B01" w:rsidRPr="001A446A" w:rsidRDefault="00EC7B01" w:rsidP="004A7670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Activo</w:t>
            </w:r>
          </w:p>
        </w:tc>
        <w:tc>
          <w:tcPr>
            <w:tcW w:w="1696" w:type="dxa"/>
          </w:tcPr>
          <w:p w:rsidR="00EC7B01" w:rsidRPr="001A446A" w:rsidRDefault="00EC7B01" w:rsidP="004A7670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Valor en Libros</w:t>
            </w:r>
          </w:p>
        </w:tc>
        <w:tc>
          <w:tcPr>
            <w:tcW w:w="1886" w:type="dxa"/>
          </w:tcPr>
          <w:p w:rsidR="00EC7B01" w:rsidRDefault="00EC7B01" w:rsidP="004A7670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Depreciación</w:t>
            </w:r>
          </w:p>
        </w:tc>
        <w:tc>
          <w:tcPr>
            <w:tcW w:w="1618" w:type="dxa"/>
          </w:tcPr>
          <w:p w:rsidR="00EC7B01" w:rsidRDefault="00EC7B01" w:rsidP="004A7670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Avalúo</w:t>
            </w:r>
          </w:p>
        </w:tc>
      </w:tr>
      <w:tr w:rsidR="00EC7B01" w:rsidTr="004A7670">
        <w:tc>
          <w:tcPr>
            <w:tcW w:w="3462" w:type="dxa"/>
          </w:tcPr>
          <w:p w:rsidR="00EC7B01" w:rsidRDefault="00EC7B01" w:rsidP="004A767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Equipo de Oficina </w:t>
            </w:r>
          </w:p>
        </w:tc>
        <w:tc>
          <w:tcPr>
            <w:tcW w:w="1696" w:type="dxa"/>
          </w:tcPr>
          <w:p w:rsidR="00EC7B01" w:rsidRDefault="00EC7B01" w:rsidP="004A7670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2707B3">
              <w:rPr>
                <w:rFonts w:cstheme="minorHAnsi"/>
                <w:sz w:val="24"/>
                <w:szCs w:val="24"/>
              </w:rPr>
              <w:t>.000</w:t>
            </w:r>
          </w:p>
        </w:tc>
        <w:tc>
          <w:tcPr>
            <w:tcW w:w="1886" w:type="dxa"/>
          </w:tcPr>
          <w:p w:rsidR="00EC7B01" w:rsidRDefault="00EC7B01" w:rsidP="00EC7B01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3.000</w:t>
            </w:r>
          </w:p>
        </w:tc>
        <w:tc>
          <w:tcPr>
            <w:tcW w:w="1618" w:type="dxa"/>
          </w:tcPr>
          <w:p w:rsidR="00EC7B01" w:rsidRDefault="00EC7B01" w:rsidP="004A7670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8.000</w:t>
            </w:r>
          </w:p>
        </w:tc>
      </w:tr>
    </w:tbl>
    <w:p w:rsidR="006371F0" w:rsidRDefault="006371F0" w:rsidP="0067633C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EC7B01" w:rsidRDefault="00EC7B01" w:rsidP="0067633C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sz w:val="24"/>
          <w:szCs w:val="24"/>
        </w:rPr>
        <w:t>La C</w:t>
      </w:r>
      <w:r w:rsidRPr="007C2914">
        <w:rPr>
          <w:rFonts w:cstheme="minorHAnsi"/>
          <w:sz w:val="24"/>
          <w:szCs w:val="24"/>
        </w:rPr>
        <w:t xml:space="preserve">ompañía hará uso de la exención de usar el valor razonable como costo atribuido. </w:t>
      </w:r>
    </w:p>
    <w:p w:rsidR="00EC7B01" w:rsidRDefault="00EC7B01" w:rsidP="0067633C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7C2914" w:rsidRPr="006371F0" w:rsidRDefault="007C2914" w:rsidP="006763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6371F0">
        <w:rPr>
          <w:rFonts w:cstheme="minorHAnsi"/>
          <w:b/>
          <w:sz w:val="24"/>
          <w:szCs w:val="24"/>
          <w:u w:val="single"/>
        </w:rPr>
        <w:t>Ajustes por inflación</w:t>
      </w:r>
      <w:r w:rsidR="006371F0" w:rsidRPr="006371F0">
        <w:rPr>
          <w:rFonts w:cstheme="minorHAnsi"/>
          <w:b/>
          <w:sz w:val="24"/>
          <w:szCs w:val="24"/>
          <w:u w:val="single"/>
        </w:rPr>
        <w:t>:</w:t>
      </w:r>
      <w:r w:rsidRPr="006371F0">
        <w:rPr>
          <w:rFonts w:cstheme="minorHAnsi"/>
          <w:b/>
          <w:sz w:val="24"/>
          <w:szCs w:val="24"/>
          <w:u w:val="single"/>
        </w:rPr>
        <w:t xml:space="preserve"> </w:t>
      </w:r>
    </w:p>
    <w:p w:rsidR="007C2914" w:rsidRPr="007C2914" w:rsidRDefault="003F4318" w:rsidP="0067633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la fecha la compañía CETA S. A., no se considera que este en una economía </w:t>
      </w:r>
      <w:r w:rsidR="007C2914" w:rsidRPr="007C2914">
        <w:rPr>
          <w:rFonts w:cstheme="minorHAnsi"/>
          <w:sz w:val="24"/>
          <w:szCs w:val="24"/>
        </w:rPr>
        <w:t>hip</w:t>
      </w:r>
      <w:r>
        <w:rPr>
          <w:rFonts w:cstheme="minorHAnsi"/>
          <w:sz w:val="24"/>
          <w:szCs w:val="24"/>
        </w:rPr>
        <w:t>erinflacio</w:t>
      </w:r>
      <w:r w:rsidR="007C2914" w:rsidRPr="007C291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aria de acuerdo con la sección 31</w:t>
      </w:r>
      <w:r w:rsidR="007C2914" w:rsidRPr="007C2914">
        <w:rPr>
          <w:rFonts w:cstheme="minorHAnsi"/>
          <w:sz w:val="24"/>
          <w:szCs w:val="24"/>
        </w:rPr>
        <w:t>.</w:t>
      </w:r>
    </w:p>
    <w:p w:rsidR="002E3218" w:rsidRDefault="002E3218" w:rsidP="006763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1BA0" w:rsidRDefault="00731BA0" w:rsidP="006763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Arrendamiento</w:t>
      </w: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:</w:t>
      </w:r>
    </w:p>
    <w:p w:rsidR="00731BA0" w:rsidRDefault="00731BA0" w:rsidP="006763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1BA0" w:rsidRDefault="00731BA0" w:rsidP="006763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 </w:t>
      </w:r>
      <w:r w:rsidR="002E3218">
        <w:rPr>
          <w:rFonts w:asciiTheme="minorHAnsi" w:hAnsiTheme="minorHAnsi"/>
          <w:sz w:val="24"/>
          <w:szCs w:val="24"/>
        </w:rPr>
        <w:t>C</w:t>
      </w:r>
      <w:r w:rsidR="000226AD">
        <w:rPr>
          <w:rFonts w:asciiTheme="minorHAnsi" w:hAnsiTheme="minorHAnsi"/>
          <w:sz w:val="24"/>
          <w:szCs w:val="24"/>
        </w:rPr>
        <w:t>ompañía, en el pasado</w:t>
      </w:r>
      <w:r>
        <w:rPr>
          <w:rFonts w:asciiTheme="minorHAnsi" w:hAnsiTheme="minorHAnsi"/>
          <w:sz w:val="24"/>
          <w:szCs w:val="24"/>
        </w:rPr>
        <w:t xml:space="preserve"> suscribió un contrato de arrendamiento </w:t>
      </w:r>
      <w:r w:rsidR="000226AD">
        <w:rPr>
          <w:rFonts w:asciiTheme="minorHAnsi" w:hAnsiTheme="minorHAnsi"/>
          <w:sz w:val="24"/>
          <w:szCs w:val="24"/>
        </w:rPr>
        <w:t>operativo</w:t>
      </w:r>
      <w:r w:rsidR="00DD48C8">
        <w:rPr>
          <w:rFonts w:asciiTheme="minorHAnsi" w:hAnsiTheme="minorHAnsi"/>
          <w:sz w:val="24"/>
          <w:szCs w:val="24"/>
        </w:rPr>
        <w:t xml:space="preserve"> para una maquinaria</w:t>
      </w:r>
      <w:r w:rsidR="000226AD">
        <w:rPr>
          <w:rFonts w:asciiTheme="minorHAnsi" w:hAnsiTheme="minorHAnsi"/>
          <w:sz w:val="24"/>
          <w:szCs w:val="24"/>
        </w:rPr>
        <w:t>.</w:t>
      </w:r>
    </w:p>
    <w:p w:rsidR="00731BA0" w:rsidRDefault="00731BA0" w:rsidP="006763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1BA0" w:rsidRDefault="00731BA0" w:rsidP="006763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Las condiciones del contrato fueron las siguientes:</w:t>
      </w:r>
    </w:p>
    <w:p w:rsidR="00731BA0" w:rsidRDefault="00731BA0" w:rsidP="006763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1BA0" w:rsidRDefault="00334E9A" w:rsidP="006763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34E9A">
        <w:rPr>
          <w:noProof/>
          <w:lang w:eastAsia="es-CO"/>
        </w:rPr>
        <w:drawing>
          <wp:inline distT="0" distB="0" distL="0" distR="0">
            <wp:extent cx="3718560" cy="17221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A0" w:rsidRDefault="00731BA0" w:rsidP="006763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73AEB" w:rsidRPr="003400B2" w:rsidRDefault="00673AEB" w:rsidP="00673AEB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Activos diferidos</w:t>
      </w: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:</w:t>
      </w:r>
    </w:p>
    <w:p w:rsidR="00673AEB" w:rsidRPr="003400B2" w:rsidRDefault="00673AEB" w:rsidP="00673AE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2E07" w:rsidRPr="00673AEB" w:rsidRDefault="00673AEB" w:rsidP="00673AE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73AEB">
        <w:rPr>
          <w:rFonts w:asciiTheme="minorHAnsi" w:hAnsiTheme="minorHAnsi"/>
          <w:b/>
          <w:sz w:val="24"/>
          <w:szCs w:val="24"/>
          <w:u w:val="single"/>
        </w:rPr>
        <w:t>Gastos pagados por anticipado – Seguros:</w:t>
      </w:r>
    </w:p>
    <w:p w:rsidR="0028654A" w:rsidRDefault="00673AEB" w:rsidP="00286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3AEB">
        <w:rPr>
          <w:rFonts w:cstheme="minorHAnsi"/>
          <w:sz w:val="24"/>
          <w:szCs w:val="24"/>
        </w:rPr>
        <w:t>Corresponde al pago anticipado por el año que termina el 31 de diciembre del 201</w:t>
      </w:r>
      <w:r w:rsidR="009C5DB2">
        <w:rPr>
          <w:rFonts w:cstheme="minorHAnsi"/>
          <w:sz w:val="24"/>
          <w:szCs w:val="24"/>
        </w:rPr>
        <w:t>4</w:t>
      </w:r>
      <w:r w:rsidRPr="00673AEB">
        <w:rPr>
          <w:rFonts w:cstheme="minorHAnsi"/>
          <w:sz w:val="24"/>
          <w:szCs w:val="24"/>
        </w:rPr>
        <w:t>. Están expresados en términos del valor recuperable, dado los beneficios que se esperan obtener en el corto plazo.</w:t>
      </w:r>
    </w:p>
    <w:p w:rsidR="0028654A" w:rsidRDefault="0028654A" w:rsidP="002865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654A" w:rsidRDefault="0028654A" w:rsidP="002865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Cargos diferidos</w:t>
      </w:r>
      <w:r w:rsidRPr="00673AEB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>
        <w:rPr>
          <w:rFonts w:asciiTheme="minorHAnsi" w:hAnsiTheme="minorHAnsi"/>
          <w:b/>
          <w:sz w:val="24"/>
          <w:szCs w:val="24"/>
          <w:u w:val="single"/>
        </w:rPr>
        <w:t>Publicidad</w:t>
      </w:r>
      <w:r w:rsidRPr="00673AEB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28654A" w:rsidRDefault="0028654A" w:rsidP="002865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28F6" w:rsidRDefault="0028654A" w:rsidP="002865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654A">
        <w:rPr>
          <w:rFonts w:cstheme="minorHAnsi"/>
          <w:sz w:val="24"/>
          <w:szCs w:val="24"/>
        </w:rPr>
        <w:t>Corresponde a</w:t>
      </w:r>
      <w:r w:rsidR="00BB28F6">
        <w:rPr>
          <w:rFonts w:cstheme="minorHAnsi"/>
          <w:sz w:val="24"/>
          <w:szCs w:val="24"/>
        </w:rPr>
        <w:t xml:space="preserve"> los siguientes gastos pagados por anticipado:</w:t>
      </w:r>
    </w:p>
    <w:p w:rsidR="0028654A" w:rsidRDefault="00BB28F6" w:rsidP="00BB28F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8654A" w:rsidRPr="00BB28F6">
        <w:rPr>
          <w:rFonts w:cstheme="minorHAnsi"/>
          <w:sz w:val="24"/>
          <w:szCs w:val="24"/>
        </w:rPr>
        <w:t>ublici</w:t>
      </w:r>
      <w:r>
        <w:rPr>
          <w:rFonts w:cstheme="minorHAnsi"/>
          <w:sz w:val="24"/>
          <w:szCs w:val="24"/>
        </w:rPr>
        <w:t>dad</w:t>
      </w:r>
      <w:r w:rsidR="0028654A" w:rsidRPr="00BB28F6">
        <w:rPr>
          <w:rFonts w:cstheme="minorHAnsi"/>
          <w:sz w:val="24"/>
          <w:szCs w:val="24"/>
        </w:rPr>
        <w:t xml:space="preserve"> en </w:t>
      </w:r>
      <w:r>
        <w:rPr>
          <w:rFonts w:cstheme="minorHAnsi"/>
          <w:sz w:val="24"/>
          <w:szCs w:val="24"/>
        </w:rPr>
        <w:t xml:space="preserve"> radio y </w:t>
      </w:r>
      <w:r w:rsidR="0028654A" w:rsidRPr="00BB28F6">
        <w:rPr>
          <w:rFonts w:cstheme="minorHAnsi"/>
          <w:sz w:val="24"/>
          <w:szCs w:val="24"/>
        </w:rPr>
        <w:t>televisión de los meses de octubre a diciembre del 201</w:t>
      </w:r>
      <w:r w:rsidR="009C5DB2" w:rsidRPr="00BB28F6">
        <w:rPr>
          <w:rFonts w:cstheme="minorHAnsi"/>
          <w:sz w:val="24"/>
          <w:szCs w:val="24"/>
        </w:rPr>
        <w:t>4</w:t>
      </w:r>
      <w:r w:rsidR="0028654A" w:rsidRPr="00BB28F6">
        <w:rPr>
          <w:rFonts w:cstheme="minorHAnsi"/>
          <w:sz w:val="24"/>
          <w:szCs w:val="24"/>
        </w:rPr>
        <w:t xml:space="preserve"> que se están amortizando en 5 años.</w:t>
      </w:r>
    </w:p>
    <w:p w:rsidR="00BB28F6" w:rsidRPr="00BB28F6" w:rsidRDefault="00BB28F6" w:rsidP="00BB28F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Papelería adquirida para asuntos administrativos que es diferida en 6 meses.</w:t>
      </w:r>
    </w:p>
    <w:p w:rsidR="0028654A" w:rsidRPr="00673AEB" w:rsidRDefault="0028654A" w:rsidP="002865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1E71" w:rsidRPr="003400B2" w:rsidRDefault="00471E71" w:rsidP="00471E71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Otros activos</w:t>
      </w: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:</w:t>
      </w:r>
    </w:p>
    <w:p w:rsidR="00471E71" w:rsidRPr="003400B2" w:rsidRDefault="00471E71" w:rsidP="00471E7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1E71" w:rsidRPr="00673AEB" w:rsidRDefault="00582729" w:rsidP="0058272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Bienes de arte y cultura</w:t>
      </w:r>
      <w:r w:rsidR="00471E71" w:rsidRPr="00673AEB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582729" w:rsidRPr="00582729" w:rsidRDefault="00582729" w:rsidP="005827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2729">
        <w:rPr>
          <w:rFonts w:cstheme="minorHAnsi"/>
          <w:sz w:val="24"/>
          <w:szCs w:val="24"/>
        </w:rPr>
        <w:t>Corresponden a obras de arte que la compañía no tiene la intenc</w:t>
      </w:r>
      <w:r w:rsidR="00193D52">
        <w:rPr>
          <w:rFonts w:cstheme="minorHAnsi"/>
          <w:sz w:val="24"/>
          <w:szCs w:val="24"/>
        </w:rPr>
        <w:t>ión de vender. Solo se tienen pa</w:t>
      </w:r>
      <w:r w:rsidRPr="00582729">
        <w:rPr>
          <w:rFonts w:cstheme="minorHAnsi"/>
          <w:sz w:val="24"/>
          <w:szCs w:val="24"/>
        </w:rPr>
        <w:t>r</w:t>
      </w:r>
      <w:r w:rsidR="00193D52">
        <w:rPr>
          <w:rFonts w:cstheme="minorHAnsi"/>
          <w:sz w:val="24"/>
          <w:szCs w:val="24"/>
        </w:rPr>
        <w:t>a la</w:t>
      </w:r>
      <w:r w:rsidRPr="00582729">
        <w:rPr>
          <w:rFonts w:cstheme="minorHAnsi"/>
          <w:sz w:val="24"/>
          <w:szCs w:val="24"/>
        </w:rPr>
        <w:t xml:space="preserve"> decoración</w:t>
      </w:r>
      <w:r w:rsidR="00193D52">
        <w:rPr>
          <w:rFonts w:cstheme="minorHAnsi"/>
          <w:sz w:val="24"/>
          <w:szCs w:val="24"/>
        </w:rPr>
        <w:t xml:space="preserve"> de la oficina</w:t>
      </w:r>
      <w:r w:rsidRPr="00582729">
        <w:rPr>
          <w:rFonts w:cstheme="minorHAnsi"/>
          <w:sz w:val="24"/>
          <w:szCs w:val="24"/>
        </w:rPr>
        <w:t xml:space="preserve">. </w:t>
      </w:r>
    </w:p>
    <w:p w:rsidR="00582729" w:rsidRDefault="00582729" w:rsidP="00582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82729" w:rsidRDefault="00582729" w:rsidP="00582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Valorizaciones</w:t>
      </w: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:</w:t>
      </w:r>
    </w:p>
    <w:p w:rsidR="000A2E07" w:rsidRDefault="000A2E07" w:rsidP="00582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82729" w:rsidRPr="00582729" w:rsidRDefault="00582729" w:rsidP="00582729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82729">
        <w:rPr>
          <w:rFonts w:cstheme="minorHAnsi"/>
          <w:b/>
          <w:sz w:val="24"/>
          <w:szCs w:val="24"/>
          <w:u w:val="single"/>
        </w:rPr>
        <w:t xml:space="preserve">Propiedades, planta y equipo: </w:t>
      </w:r>
    </w:p>
    <w:p w:rsidR="00582729" w:rsidRPr="00582729" w:rsidRDefault="00582729" w:rsidP="0058272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2729">
        <w:rPr>
          <w:rFonts w:cstheme="minorHAnsi"/>
          <w:sz w:val="24"/>
          <w:szCs w:val="24"/>
        </w:rPr>
        <w:t>Corresponden a la aplicación de los PCGA locales.</w:t>
      </w:r>
    </w:p>
    <w:p w:rsidR="0005250F" w:rsidRPr="003400B2" w:rsidRDefault="0005250F" w:rsidP="0058272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412EE" w:rsidRPr="003400B2" w:rsidRDefault="006412EE" w:rsidP="003400B2">
      <w:pPr>
        <w:spacing w:after="0" w:line="240" w:lineRule="auto"/>
        <w:jc w:val="both"/>
        <w:rPr>
          <w:rFonts w:asciiTheme="minorHAnsi" w:hAnsiTheme="minorHAnsi"/>
          <w:b/>
          <w:color w:val="3366FF"/>
          <w:sz w:val="24"/>
          <w:szCs w:val="24"/>
          <w:u w:val="single"/>
        </w:rPr>
      </w:pP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Obligaciones Financieras:</w:t>
      </w:r>
    </w:p>
    <w:p w:rsidR="00C96830" w:rsidRPr="003400B2" w:rsidRDefault="00C96830" w:rsidP="003400B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F3FE0" w:rsidRPr="00FF3FE0" w:rsidRDefault="00FF3FE0" w:rsidP="003400B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FF3FE0">
        <w:rPr>
          <w:rFonts w:asciiTheme="minorHAnsi" w:hAnsiTheme="minorHAnsi"/>
          <w:b/>
          <w:sz w:val="24"/>
          <w:szCs w:val="24"/>
          <w:u w:val="single"/>
        </w:rPr>
        <w:t>Bancos nacionales:</w:t>
      </w:r>
    </w:p>
    <w:p w:rsidR="00604046" w:rsidRPr="003400B2" w:rsidRDefault="006412EE" w:rsidP="003400B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400B2">
        <w:rPr>
          <w:rFonts w:asciiTheme="minorHAnsi" w:hAnsiTheme="minorHAnsi"/>
          <w:sz w:val="24"/>
          <w:szCs w:val="24"/>
        </w:rPr>
        <w:t>La obligación se adquirió po</w:t>
      </w:r>
      <w:r w:rsidR="00DC1FEC">
        <w:rPr>
          <w:rFonts w:asciiTheme="minorHAnsi" w:hAnsiTheme="minorHAnsi"/>
          <w:sz w:val="24"/>
          <w:szCs w:val="24"/>
        </w:rPr>
        <w:t>r $</w:t>
      </w:r>
      <w:r w:rsidR="00A83E2C">
        <w:rPr>
          <w:rFonts w:asciiTheme="minorHAnsi" w:hAnsiTheme="minorHAnsi"/>
          <w:sz w:val="24"/>
          <w:szCs w:val="24"/>
        </w:rPr>
        <w:t>4</w:t>
      </w:r>
      <w:r w:rsidR="00BB549D" w:rsidRPr="003400B2">
        <w:rPr>
          <w:rFonts w:asciiTheme="minorHAnsi" w:hAnsiTheme="minorHAnsi"/>
          <w:sz w:val="24"/>
          <w:szCs w:val="24"/>
        </w:rPr>
        <w:t>2.000 el 1</w:t>
      </w:r>
      <w:r w:rsidR="00DC1FEC">
        <w:rPr>
          <w:rFonts w:asciiTheme="minorHAnsi" w:hAnsiTheme="minorHAnsi"/>
          <w:sz w:val="24"/>
          <w:szCs w:val="24"/>
        </w:rPr>
        <w:t>º</w:t>
      </w:r>
      <w:r w:rsidR="00BB549D" w:rsidRPr="003400B2">
        <w:rPr>
          <w:rFonts w:asciiTheme="minorHAnsi" w:hAnsiTheme="minorHAnsi"/>
          <w:sz w:val="24"/>
          <w:szCs w:val="24"/>
        </w:rPr>
        <w:t xml:space="preserve"> de julio de 201</w:t>
      </w:r>
      <w:r w:rsidR="009C5DB2">
        <w:rPr>
          <w:rFonts w:asciiTheme="minorHAnsi" w:hAnsiTheme="minorHAnsi"/>
          <w:sz w:val="24"/>
          <w:szCs w:val="24"/>
        </w:rPr>
        <w:t>4</w:t>
      </w:r>
      <w:r w:rsidRPr="003400B2">
        <w:rPr>
          <w:rFonts w:asciiTheme="minorHAnsi" w:hAnsiTheme="minorHAnsi"/>
          <w:sz w:val="24"/>
          <w:szCs w:val="24"/>
        </w:rPr>
        <w:t xml:space="preserve"> para s</w:t>
      </w:r>
      <w:r w:rsidR="00BB549D" w:rsidRPr="003400B2">
        <w:rPr>
          <w:rFonts w:asciiTheme="minorHAnsi" w:hAnsiTheme="minorHAnsi"/>
          <w:sz w:val="24"/>
          <w:szCs w:val="24"/>
        </w:rPr>
        <w:t>er pagada el 30 de junio de 201</w:t>
      </w:r>
      <w:r w:rsidR="009C5DB2">
        <w:rPr>
          <w:rFonts w:asciiTheme="minorHAnsi" w:hAnsiTheme="minorHAnsi"/>
          <w:sz w:val="24"/>
          <w:szCs w:val="24"/>
        </w:rPr>
        <w:t>5</w:t>
      </w:r>
      <w:r w:rsidR="00BB549D" w:rsidRPr="003400B2">
        <w:rPr>
          <w:rFonts w:asciiTheme="minorHAnsi" w:hAnsiTheme="minorHAnsi"/>
          <w:sz w:val="24"/>
          <w:szCs w:val="24"/>
        </w:rPr>
        <w:t xml:space="preserve">. </w:t>
      </w:r>
      <w:r w:rsidRPr="003400B2">
        <w:rPr>
          <w:rFonts w:asciiTheme="minorHAnsi" w:hAnsiTheme="minorHAnsi"/>
          <w:sz w:val="24"/>
          <w:szCs w:val="24"/>
        </w:rPr>
        <w:t>Los intereses se pagan año vencido a la ta</w:t>
      </w:r>
      <w:r w:rsidR="00A83E2C">
        <w:rPr>
          <w:rFonts w:asciiTheme="minorHAnsi" w:hAnsiTheme="minorHAnsi"/>
          <w:sz w:val="24"/>
          <w:szCs w:val="24"/>
        </w:rPr>
        <w:t>sa efectiva anual del 16</w:t>
      </w:r>
      <w:r w:rsidR="008C0EB0" w:rsidRPr="003400B2">
        <w:rPr>
          <w:rFonts w:asciiTheme="minorHAnsi" w:hAnsiTheme="minorHAnsi"/>
          <w:sz w:val="24"/>
          <w:szCs w:val="24"/>
        </w:rPr>
        <w:t xml:space="preserve">%. </w:t>
      </w:r>
      <w:r w:rsidRPr="003400B2">
        <w:rPr>
          <w:rFonts w:asciiTheme="minorHAnsi" w:hAnsiTheme="minorHAnsi"/>
          <w:sz w:val="24"/>
          <w:szCs w:val="24"/>
        </w:rPr>
        <w:t xml:space="preserve"> Se incurrieron en costos de la transacción inicial (c</w:t>
      </w:r>
      <w:r w:rsidR="008C0EB0" w:rsidRPr="003400B2">
        <w:rPr>
          <w:rFonts w:asciiTheme="minorHAnsi" w:hAnsiTheme="minorHAnsi"/>
          <w:sz w:val="24"/>
          <w:szCs w:val="24"/>
        </w:rPr>
        <w:t xml:space="preserve">omisión al banco) por </w:t>
      </w:r>
      <w:r w:rsidR="00DC1FEC">
        <w:rPr>
          <w:rFonts w:asciiTheme="minorHAnsi" w:hAnsiTheme="minorHAnsi"/>
          <w:sz w:val="24"/>
          <w:szCs w:val="24"/>
        </w:rPr>
        <w:t>$</w:t>
      </w:r>
      <w:r w:rsidR="005C735A">
        <w:rPr>
          <w:rFonts w:asciiTheme="minorHAnsi" w:hAnsiTheme="minorHAnsi"/>
          <w:sz w:val="24"/>
          <w:szCs w:val="24"/>
        </w:rPr>
        <w:t>8</w:t>
      </w:r>
      <w:r w:rsidR="008C0EB0" w:rsidRPr="003400B2">
        <w:rPr>
          <w:rFonts w:asciiTheme="minorHAnsi" w:hAnsiTheme="minorHAnsi"/>
          <w:sz w:val="24"/>
          <w:szCs w:val="24"/>
        </w:rPr>
        <w:t>00.</w:t>
      </w:r>
    </w:p>
    <w:p w:rsidR="00604046" w:rsidRPr="003400B2" w:rsidRDefault="00604046" w:rsidP="00C904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9046A" w:rsidRPr="00C9046A" w:rsidRDefault="00C9046A" w:rsidP="00C9046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9046A">
        <w:rPr>
          <w:rFonts w:cstheme="minorHAnsi"/>
          <w:b/>
          <w:sz w:val="24"/>
          <w:szCs w:val="24"/>
          <w:u w:val="single"/>
        </w:rPr>
        <w:t xml:space="preserve">Préstamos recibidos de terceros: </w:t>
      </w:r>
    </w:p>
    <w:p w:rsidR="00C9046A" w:rsidRPr="00C9046A" w:rsidRDefault="00C9046A" w:rsidP="00C904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9046A">
        <w:rPr>
          <w:rFonts w:cstheme="minorHAnsi"/>
          <w:sz w:val="24"/>
          <w:szCs w:val="24"/>
        </w:rPr>
        <w:t xml:space="preserve">Préstamos otorgados en </w:t>
      </w:r>
      <w:r w:rsidR="0008287F">
        <w:rPr>
          <w:rFonts w:cstheme="minorHAnsi"/>
          <w:sz w:val="24"/>
          <w:szCs w:val="24"/>
        </w:rPr>
        <w:t>Septiembre</w:t>
      </w:r>
      <w:r w:rsidRPr="00C9046A">
        <w:rPr>
          <w:rFonts w:cstheme="minorHAnsi"/>
          <w:sz w:val="24"/>
          <w:szCs w:val="24"/>
        </w:rPr>
        <w:t xml:space="preserve"> de 20</w:t>
      </w:r>
      <w:r w:rsidR="0008287F">
        <w:rPr>
          <w:rFonts w:cstheme="minorHAnsi"/>
          <w:sz w:val="24"/>
          <w:szCs w:val="24"/>
        </w:rPr>
        <w:t>14</w:t>
      </w:r>
      <w:r w:rsidRPr="00C9046A">
        <w:rPr>
          <w:rFonts w:cstheme="minorHAnsi"/>
          <w:sz w:val="24"/>
          <w:szCs w:val="24"/>
        </w:rPr>
        <w:t xml:space="preserve"> cuyo v</w:t>
      </w:r>
      <w:r w:rsidR="009C5DB2">
        <w:rPr>
          <w:rFonts w:cstheme="minorHAnsi"/>
          <w:sz w:val="24"/>
          <w:szCs w:val="24"/>
        </w:rPr>
        <w:t xml:space="preserve">encimiento es </w:t>
      </w:r>
      <w:r w:rsidR="0008287F">
        <w:rPr>
          <w:rFonts w:cstheme="minorHAnsi"/>
          <w:sz w:val="24"/>
          <w:szCs w:val="24"/>
        </w:rPr>
        <w:t>Febrero del 2015</w:t>
      </w:r>
      <w:r w:rsidRPr="00C9046A">
        <w:rPr>
          <w:rFonts w:cstheme="minorHAnsi"/>
          <w:sz w:val="24"/>
          <w:szCs w:val="24"/>
        </w:rPr>
        <w:t xml:space="preserve"> y generan un interés del 6% EA AV. Si la compañía solicitara un crédito bajo este mismo plazo y característic</w:t>
      </w:r>
      <w:r w:rsidR="00F57AA9">
        <w:rPr>
          <w:rFonts w:cstheme="minorHAnsi"/>
          <w:sz w:val="24"/>
          <w:szCs w:val="24"/>
        </w:rPr>
        <w:t>as, el mercado le cobraría el 16</w:t>
      </w:r>
      <w:r w:rsidRPr="00C9046A">
        <w:rPr>
          <w:rFonts w:cstheme="minorHAnsi"/>
          <w:sz w:val="24"/>
          <w:szCs w:val="24"/>
        </w:rPr>
        <w:t>% EA AV.</w:t>
      </w:r>
    </w:p>
    <w:p w:rsidR="00604046" w:rsidRDefault="00604046" w:rsidP="00C904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9046A" w:rsidRDefault="00207B9C" w:rsidP="00207B9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Proveedores y acreedores</w:t>
      </w: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:</w:t>
      </w:r>
    </w:p>
    <w:p w:rsidR="00207B9C" w:rsidRDefault="00207B9C" w:rsidP="00207B9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07B9C" w:rsidRPr="00207B9C" w:rsidRDefault="00207B9C" w:rsidP="00207B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7B9C">
        <w:rPr>
          <w:rFonts w:cstheme="minorHAnsi"/>
          <w:sz w:val="24"/>
          <w:szCs w:val="24"/>
        </w:rPr>
        <w:t>Corresponden a saldos de corto plazo y se incluyen los bienes y servicios recibidos. Por tal razón, los saldos locales coinc</w:t>
      </w:r>
      <w:r>
        <w:rPr>
          <w:rFonts w:cstheme="minorHAnsi"/>
          <w:sz w:val="24"/>
          <w:szCs w:val="24"/>
        </w:rPr>
        <w:t>iden con los requeridos bajo NI</w:t>
      </w:r>
      <w:r w:rsidR="00F57AA9">
        <w:rPr>
          <w:rFonts w:cstheme="minorHAnsi"/>
          <w:sz w:val="24"/>
          <w:szCs w:val="24"/>
        </w:rPr>
        <w:t>I</w:t>
      </w:r>
      <w:r w:rsidRPr="00207B9C">
        <w:rPr>
          <w:rFonts w:cstheme="minorHAnsi"/>
          <w:sz w:val="24"/>
          <w:szCs w:val="24"/>
        </w:rPr>
        <w:t>F</w:t>
      </w:r>
      <w:r w:rsidR="00F57AA9">
        <w:rPr>
          <w:rFonts w:cstheme="minorHAnsi"/>
          <w:sz w:val="24"/>
          <w:szCs w:val="24"/>
        </w:rPr>
        <w:t>, debido a que los proveedores se cancelan con plazos inferiores a 90 días</w:t>
      </w:r>
      <w:r w:rsidRPr="00207B9C">
        <w:rPr>
          <w:rFonts w:cstheme="minorHAnsi"/>
          <w:sz w:val="24"/>
          <w:szCs w:val="24"/>
        </w:rPr>
        <w:t>.</w:t>
      </w:r>
    </w:p>
    <w:p w:rsidR="002E3218" w:rsidRDefault="002E3218" w:rsidP="00A502D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502D0" w:rsidRPr="00A502D0" w:rsidRDefault="00A502D0" w:rsidP="00A502D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Impuestos por pagar</w:t>
      </w: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:</w:t>
      </w:r>
    </w:p>
    <w:p w:rsidR="00A502D0" w:rsidRDefault="00A502D0" w:rsidP="00A502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02D0" w:rsidRPr="00A636D7" w:rsidRDefault="00A636D7" w:rsidP="00A636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A636D7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Compañía</w:t>
      </w:r>
      <w:r w:rsidRPr="00A636D7">
        <w:rPr>
          <w:rFonts w:cstheme="minorHAnsi"/>
          <w:sz w:val="24"/>
          <w:szCs w:val="24"/>
        </w:rPr>
        <w:t xml:space="preserve"> compensará los activos por imp</w:t>
      </w:r>
      <w:r>
        <w:rPr>
          <w:rFonts w:cstheme="minorHAnsi"/>
          <w:sz w:val="24"/>
          <w:szCs w:val="24"/>
        </w:rPr>
        <w:t xml:space="preserve">uestos corrientes y pasivos por </w:t>
      </w:r>
      <w:r w:rsidRPr="00A636D7">
        <w:rPr>
          <w:rFonts w:cstheme="minorHAnsi"/>
          <w:sz w:val="24"/>
          <w:szCs w:val="24"/>
        </w:rPr>
        <w:t>impuestos corrientes, o los activos por im</w:t>
      </w:r>
      <w:r>
        <w:rPr>
          <w:rFonts w:cstheme="minorHAnsi"/>
          <w:sz w:val="24"/>
          <w:szCs w:val="24"/>
        </w:rPr>
        <w:t xml:space="preserve">puestos diferidos y pasivos por </w:t>
      </w:r>
      <w:r w:rsidRPr="00A636D7">
        <w:rPr>
          <w:rFonts w:cstheme="minorHAnsi"/>
          <w:sz w:val="24"/>
          <w:szCs w:val="24"/>
        </w:rPr>
        <w:t>impuestos diferidos solo cuando tenga el d</w:t>
      </w:r>
      <w:r>
        <w:rPr>
          <w:rFonts w:cstheme="minorHAnsi"/>
          <w:sz w:val="24"/>
          <w:szCs w:val="24"/>
        </w:rPr>
        <w:t xml:space="preserve">erecho, exigible legalmente, de </w:t>
      </w:r>
      <w:r w:rsidRPr="00A636D7">
        <w:rPr>
          <w:rFonts w:cstheme="minorHAnsi"/>
          <w:sz w:val="24"/>
          <w:szCs w:val="24"/>
        </w:rPr>
        <w:t>compensar los importes y tenga intención de liq</w:t>
      </w:r>
      <w:r>
        <w:rPr>
          <w:rFonts w:cstheme="minorHAnsi"/>
          <w:sz w:val="24"/>
          <w:szCs w:val="24"/>
        </w:rPr>
        <w:t xml:space="preserve">uidarlos en términos netos o de </w:t>
      </w:r>
      <w:r w:rsidRPr="00A636D7">
        <w:rPr>
          <w:rFonts w:cstheme="minorHAnsi"/>
          <w:sz w:val="24"/>
          <w:szCs w:val="24"/>
        </w:rPr>
        <w:t>realizar el activo y liquidar el pasivo simultáneamente.</w:t>
      </w:r>
    </w:p>
    <w:p w:rsidR="00A502D0" w:rsidRDefault="00A502D0" w:rsidP="00A502D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72753" w:rsidRDefault="00672753" w:rsidP="00A502D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Pasivos laborales</w:t>
      </w: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:</w:t>
      </w:r>
    </w:p>
    <w:p w:rsidR="00672753" w:rsidRDefault="00672753" w:rsidP="0067275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72753" w:rsidRDefault="00672753" w:rsidP="002B1F8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72753">
        <w:rPr>
          <w:rFonts w:cstheme="minorHAnsi"/>
          <w:sz w:val="24"/>
          <w:szCs w:val="24"/>
        </w:rPr>
        <w:t xml:space="preserve">Corresponden a lo que se ha establecido a corto plazo en las normas legales. </w:t>
      </w:r>
    </w:p>
    <w:p w:rsidR="00672753" w:rsidRPr="003400B2" w:rsidRDefault="00672753" w:rsidP="0067275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4046" w:rsidRPr="008E0BA4" w:rsidRDefault="00AE4763" w:rsidP="00207B9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Provisiones</w:t>
      </w:r>
      <w:r w:rsidRPr="003400B2">
        <w:rPr>
          <w:rFonts w:asciiTheme="minorHAnsi" w:hAnsiTheme="minorHAnsi"/>
          <w:b/>
          <w:color w:val="3366FF"/>
          <w:sz w:val="24"/>
          <w:szCs w:val="24"/>
          <w:u w:val="single"/>
        </w:rPr>
        <w:t>:</w:t>
      </w:r>
    </w:p>
    <w:p w:rsidR="00AE4763" w:rsidRPr="008E0BA4" w:rsidRDefault="00AE4763" w:rsidP="00D4518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604046" w:rsidRPr="008E0BA4" w:rsidRDefault="002B1F82" w:rsidP="00931BC9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B1F82">
        <w:rPr>
          <w:noProof/>
          <w:lang w:eastAsia="es-CO"/>
        </w:rPr>
        <w:drawing>
          <wp:inline distT="0" distB="0" distL="0" distR="0">
            <wp:extent cx="3497580" cy="5791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3B" w:rsidRDefault="00D65D3B" w:rsidP="00931BC9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819"/>
      </w:tblGrid>
      <w:tr w:rsidR="00847CE5" w:rsidRPr="00D32FEC" w:rsidTr="003102EE">
        <w:tc>
          <w:tcPr>
            <w:tcW w:w="2518" w:type="dxa"/>
            <w:vAlign w:val="center"/>
          </w:tcPr>
          <w:p w:rsidR="00604046" w:rsidRPr="00D32FEC" w:rsidRDefault="006F1028" w:rsidP="003102EE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FEC">
              <w:rPr>
                <w:rFonts w:asciiTheme="minorHAnsi" w:hAnsiTheme="minorHAnsi"/>
                <w:b/>
                <w:sz w:val="20"/>
                <w:szCs w:val="20"/>
              </w:rPr>
              <w:t>Para Costos Gastos</w:t>
            </w:r>
          </w:p>
        </w:tc>
        <w:tc>
          <w:tcPr>
            <w:tcW w:w="6819" w:type="dxa"/>
            <w:vAlign w:val="center"/>
          </w:tcPr>
          <w:p w:rsidR="00604046" w:rsidRPr="00D32FEC" w:rsidRDefault="006F1028" w:rsidP="003102EE">
            <w:pPr>
              <w:pStyle w:val="Sangradetextonormal"/>
              <w:spacing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FEC">
              <w:rPr>
                <w:rFonts w:asciiTheme="minorHAnsi" w:hAnsiTheme="minorHAnsi"/>
                <w:b/>
                <w:sz w:val="20"/>
                <w:szCs w:val="20"/>
              </w:rPr>
              <w:t>Concepto</w:t>
            </w:r>
          </w:p>
        </w:tc>
      </w:tr>
      <w:tr w:rsidR="00847CE5" w:rsidRPr="00D32FEC" w:rsidTr="003102EE">
        <w:tc>
          <w:tcPr>
            <w:tcW w:w="2518" w:type="dxa"/>
            <w:vAlign w:val="center"/>
          </w:tcPr>
          <w:p w:rsidR="006F1028" w:rsidRPr="00D32FEC" w:rsidRDefault="002B1F82" w:rsidP="003102EE">
            <w:pPr>
              <w:pStyle w:val="Sangradetextonormal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Honorarios de abogado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$3.0</w:t>
            </w:r>
            <w:r w:rsidR="006F1028" w:rsidRPr="00D32FE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6819" w:type="dxa"/>
          </w:tcPr>
          <w:p w:rsidR="006F1028" w:rsidRPr="00D32FEC" w:rsidRDefault="006F1028" w:rsidP="00931BC9">
            <w:pPr>
              <w:pStyle w:val="Sangradetextonormal"/>
              <w:spacing w:after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2FEC">
              <w:rPr>
                <w:rFonts w:asciiTheme="minorHAnsi" w:hAnsiTheme="minorHAnsi"/>
                <w:sz w:val="20"/>
                <w:szCs w:val="20"/>
              </w:rPr>
              <w:t>Corresponde a servicios recibidos y no facturados</w:t>
            </w:r>
          </w:p>
        </w:tc>
      </w:tr>
      <w:tr w:rsidR="00847CE5" w:rsidRPr="00D32FEC" w:rsidTr="003102EE">
        <w:tc>
          <w:tcPr>
            <w:tcW w:w="2518" w:type="dxa"/>
            <w:vAlign w:val="center"/>
          </w:tcPr>
          <w:p w:rsidR="006F1028" w:rsidRPr="00D32FEC" w:rsidRDefault="006F1028" w:rsidP="003102EE">
            <w:pPr>
              <w:pStyle w:val="Sangradetextonormal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32FEC">
              <w:rPr>
                <w:rFonts w:asciiTheme="minorHAnsi" w:hAnsiTheme="minorHAnsi"/>
                <w:sz w:val="20"/>
                <w:szCs w:val="20"/>
              </w:rPr>
              <w:t>Servicios Técnicos</w:t>
            </w:r>
            <w:r w:rsidRPr="00D32FEC">
              <w:rPr>
                <w:rFonts w:asciiTheme="minorHAnsi" w:hAnsiTheme="minorHAnsi"/>
                <w:sz w:val="20"/>
                <w:szCs w:val="20"/>
              </w:rPr>
              <w:tab/>
            </w:r>
            <w:r w:rsidRPr="00D32FEC">
              <w:rPr>
                <w:rFonts w:asciiTheme="minorHAnsi" w:hAnsiTheme="minorHAnsi"/>
                <w:sz w:val="20"/>
                <w:szCs w:val="20"/>
              </w:rPr>
              <w:tab/>
              <w:t>$1.500</w:t>
            </w:r>
          </w:p>
        </w:tc>
        <w:tc>
          <w:tcPr>
            <w:tcW w:w="6819" w:type="dxa"/>
          </w:tcPr>
          <w:p w:rsidR="006F1028" w:rsidRPr="00D32FEC" w:rsidRDefault="006F1028" w:rsidP="00931BC9">
            <w:pPr>
              <w:pStyle w:val="Sangradetextonormal"/>
              <w:tabs>
                <w:tab w:val="num" w:pos="770"/>
              </w:tabs>
              <w:spacing w:after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2FEC">
              <w:rPr>
                <w:rFonts w:asciiTheme="minorHAnsi" w:hAnsiTheme="minorHAnsi"/>
                <w:sz w:val="20"/>
                <w:szCs w:val="20"/>
              </w:rPr>
              <w:t xml:space="preserve">Corresponden a estimaciones de las reparaciones que se requieren realizar </w:t>
            </w:r>
            <w:r w:rsidR="00EC5591" w:rsidRPr="00D32FEC">
              <w:rPr>
                <w:rFonts w:asciiTheme="minorHAnsi" w:hAnsiTheme="minorHAnsi"/>
                <w:sz w:val="20"/>
                <w:szCs w:val="20"/>
              </w:rPr>
              <w:t>a la maquinaria y equipo</w:t>
            </w:r>
          </w:p>
        </w:tc>
      </w:tr>
      <w:tr w:rsidR="00847CE5" w:rsidRPr="00D32FEC" w:rsidTr="003102EE">
        <w:tc>
          <w:tcPr>
            <w:tcW w:w="2518" w:type="dxa"/>
            <w:vAlign w:val="center"/>
          </w:tcPr>
          <w:p w:rsidR="006F1028" w:rsidRPr="00D32FEC" w:rsidRDefault="002B1F82" w:rsidP="003102EE">
            <w:pPr>
              <w:pStyle w:val="Sangradetextonormal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Materiales y Repuestos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$5.5</w:t>
            </w:r>
            <w:r w:rsidR="006F1028" w:rsidRPr="00D32FE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6819" w:type="dxa"/>
          </w:tcPr>
          <w:p w:rsidR="006F1028" w:rsidRPr="00D32FEC" w:rsidRDefault="006F1028" w:rsidP="00931BC9">
            <w:pPr>
              <w:pStyle w:val="Sangradetextonormal"/>
              <w:spacing w:after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2FEC">
              <w:rPr>
                <w:rFonts w:asciiTheme="minorHAnsi" w:hAnsiTheme="minorHAnsi"/>
                <w:sz w:val="20"/>
                <w:szCs w:val="20"/>
              </w:rPr>
              <w:t>Corresponde al presupuesto elaborado para el mantenimiento y reparación de equipos, de los cuales al cierre del período se han rec</w:t>
            </w:r>
            <w:r w:rsidR="00EC5591" w:rsidRPr="00D32FEC">
              <w:rPr>
                <w:rFonts w:asciiTheme="minorHAnsi" w:hAnsiTheme="minorHAnsi"/>
                <w:sz w:val="20"/>
                <w:szCs w:val="20"/>
              </w:rPr>
              <w:t>ibido  repuestos por valor de $3.5</w:t>
            </w:r>
            <w:r w:rsidRPr="00D32FEC">
              <w:rPr>
                <w:rFonts w:asciiTheme="minorHAnsi" w:hAnsiTheme="minorHAnsi"/>
                <w:sz w:val="20"/>
                <w:szCs w:val="20"/>
              </w:rPr>
              <w:t>00, los cuales no han sido facturados.</w:t>
            </w:r>
          </w:p>
        </w:tc>
      </w:tr>
      <w:tr w:rsidR="00847CE5" w:rsidRPr="00D32FEC" w:rsidTr="003102EE">
        <w:tc>
          <w:tcPr>
            <w:tcW w:w="2518" w:type="dxa"/>
            <w:vAlign w:val="center"/>
          </w:tcPr>
          <w:p w:rsidR="006F1028" w:rsidRPr="00D32FEC" w:rsidRDefault="00D821A1" w:rsidP="003102EE">
            <w:pPr>
              <w:pStyle w:val="Sangradetextonormal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32FEC">
              <w:rPr>
                <w:rFonts w:asciiTheme="minorHAnsi" w:hAnsiTheme="minorHAnsi"/>
                <w:b/>
                <w:sz w:val="20"/>
                <w:szCs w:val="20"/>
              </w:rPr>
              <w:t>Para Mantenimiento y Reparaciones</w:t>
            </w:r>
          </w:p>
        </w:tc>
        <w:tc>
          <w:tcPr>
            <w:tcW w:w="6819" w:type="dxa"/>
          </w:tcPr>
          <w:p w:rsidR="006F1028" w:rsidRPr="00D32FEC" w:rsidRDefault="006F1028" w:rsidP="00931BC9">
            <w:pPr>
              <w:pStyle w:val="Sangradetextonormal"/>
              <w:spacing w:after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7CE5" w:rsidRPr="00D32FEC" w:rsidTr="003102EE">
        <w:tc>
          <w:tcPr>
            <w:tcW w:w="2518" w:type="dxa"/>
            <w:vAlign w:val="center"/>
          </w:tcPr>
          <w:p w:rsidR="00D821A1" w:rsidRPr="00D32FEC" w:rsidRDefault="00D821A1" w:rsidP="003102EE">
            <w:pPr>
              <w:pStyle w:val="Sangradetextonormal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32FEC">
              <w:rPr>
                <w:rFonts w:asciiTheme="minorHAnsi" w:hAnsiTheme="minorHAnsi"/>
                <w:sz w:val="20"/>
                <w:szCs w:val="20"/>
              </w:rPr>
              <w:t>Mantenimiento y Reparaciones</w:t>
            </w:r>
            <w:r w:rsidR="005637B7" w:rsidRPr="00D32FEC">
              <w:rPr>
                <w:rFonts w:asciiTheme="minorHAnsi" w:hAnsiTheme="minorHAnsi"/>
                <w:sz w:val="20"/>
                <w:szCs w:val="20"/>
              </w:rPr>
              <w:tab/>
            </w:r>
            <w:r w:rsidR="002B1F82">
              <w:rPr>
                <w:rFonts w:asciiTheme="minorHAnsi" w:hAnsiTheme="minorHAnsi"/>
                <w:sz w:val="20"/>
                <w:szCs w:val="20"/>
              </w:rPr>
              <w:t>$2</w:t>
            </w:r>
            <w:r w:rsidRPr="00D32FEC">
              <w:rPr>
                <w:rFonts w:asciiTheme="minorHAnsi" w:hAnsiTheme="minorHAnsi"/>
                <w:sz w:val="20"/>
                <w:szCs w:val="20"/>
              </w:rPr>
              <w:t>.000</w:t>
            </w:r>
          </w:p>
        </w:tc>
        <w:tc>
          <w:tcPr>
            <w:tcW w:w="6819" w:type="dxa"/>
          </w:tcPr>
          <w:p w:rsidR="00D821A1" w:rsidRPr="00D32FEC" w:rsidRDefault="00D821A1" w:rsidP="00931BC9">
            <w:pPr>
              <w:pStyle w:val="Sangradetextonormal"/>
              <w:spacing w:after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2FEC">
              <w:rPr>
                <w:rFonts w:asciiTheme="minorHAnsi" w:hAnsiTheme="minorHAnsi"/>
                <w:sz w:val="20"/>
                <w:szCs w:val="20"/>
              </w:rPr>
              <w:t>Corresponde a mantenimiento efectuado a los equipos de cómputo durante  el año 2014. Aún no se ha facturado.</w:t>
            </w:r>
          </w:p>
        </w:tc>
      </w:tr>
      <w:tr w:rsidR="00847CE5" w:rsidRPr="00D32FEC" w:rsidTr="003102EE">
        <w:tc>
          <w:tcPr>
            <w:tcW w:w="2518" w:type="dxa"/>
            <w:vAlign w:val="center"/>
          </w:tcPr>
          <w:p w:rsidR="00D821A1" w:rsidRPr="00D32FEC" w:rsidRDefault="00D821A1" w:rsidP="003102EE">
            <w:pPr>
              <w:pStyle w:val="Sangradetextonormal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32FEC">
              <w:rPr>
                <w:rFonts w:asciiTheme="minorHAnsi" w:hAnsiTheme="minorHAnsi"/>
                <w:b/>
                <w:sz w:val="20"/>
                <w:szCs w:val="20"/>
              </w:rPr>
              <w:t>Para Contingencias</w:t>
            </w:r>
          </w:p>
        </w:tc>
        <w:tc>
          <w:tcPr>
            <w:tcW w:w="6819" w:type="dxa"/>
          </w:tcPr>
          <w:p w:rsidR="00D821A1" w:rsidRPr="00D32FEC" w:rsidRDefault="00D821A1" w:rsidP="00931BC9">
            <w:pPr>
              <w:pStyle w:val="Sangradetextonormal"/>
              <w:spacing w:after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7CE5" w:rsidRPr="00D32FEC" w:rsidTr="003102EE">
        <w:tc>
          <w:tcPr>
            <w:tcW w:w="2518" w:type="dxa"/>
            <w:vAlign w:val="center"/>
          </w:tcPr>
          <w:p w:rsidR="00D821A1" w:rsidRPr="00D32FEC" w:rsidRDefault="005637B7" w:rsidP="003102EE">
            <w:pPr>
              <w:pStyle w:val="Sangradetextonormal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32FEC">
              <w:rPr>
                <w:rFonts w:asciiTheme="minorHAnsi" w:hAnsiTheme="minorHAnsi"/>
                <w:sz w:val="20"/>
                <w:szCs w:val="20"/>
              </w:rPr>
              <w:t>Contingencias</w:t>
            </w:r>
          </w:p>
          <w:p w:rsidR="005637B7" w:rsidRPr="00D32FEC" w:rsidRDefault="005637B7" w:rsidP="003102EE">
            <w:pPr>
              <w:pStyle w:val="Sangradetextonormal"/>
              <w:spacing w:after="0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D32FEC">
              <w:rPr>
                <w:rFonts w:asciiTheme="minorHAnsi" w:hAnsiTheme="minorHAnsi"/>
                <w:sz w:val="20"/>
                <w:szCs w:val="20"/>
              </w:rPr>
              <w:t>$10.000</w:t>
            </w:r>
          </w:p>
        </w:tc>
        <w:tc>
          <w:tcPr>
            <w:tcW w:w="6819" w:type="dxa"/>
          </w:tcPr>
          <w:p w:rsidR="00D821A1" w:rsidRPr="00D32FEC" w:rsidRDefault="00D821A1" w:rsidP="002B1F82">
            <w:pPr>
              <w:pStyle w:val="Sangradetextonormal"/>
              <w:spacing w:after="0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2FEC">
              <w:rPr>
                <w:rFonts w:asciiTheme="minorHAnsi" w:hAnsiTheme="minorHAnsi"/>
                <w:sz w:val="20"/>
                <w:szCs w:val="20"/>
              </w:rPr>
              <w:t xml:space="preserve">Demanda Comercial por </w:t>
            </w:r>
            <w:r w:rsidR="002B1F82">
              <w:rPr>
                <w:rFonts w:asciiTheme="minorHAnsi" w:hAnsiTheme="minorHAnsi"/>
                <w:sz w:val="20"/>
                <w:szCs w:val="20"/>
              </w:rPr>
              <w:t>posibles perjuicios en la comercialización de un producto con empaque similar en el mercado, los abogados consideran que no hay evidencia objetiva de una pérdida en la actualidad</w:t>
            </w:r>
            <w:r w:rsidRPr="00D32FE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01248B" w:rsidRPr="008E0BA4" w:rsidRDefault="006412EE" w:rsidP="00D4518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0BA4">
        <w:rPr>
          <w:rFonts w:asciiTheme="minorHAnsi" w:hAnsiTheme="minorHAnsi"/>
          <w:sz w:val="24"/>
          <w:szCs w:val="24"/>
        </w:rPr>
        <w:tab/>
      </w:r>
    </w:p>
    <w:p w:rsidR="0001248B" w:rsidRPr="008E0BA4" w:rsidRDefault="0001248B" w:rsidP="00D4518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C62DD" w:rsidRPr="008E0BA4" w:rsidRDefault="008C62DD" w:rsidP="008C62D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3366FF"/>
          <w:sz w:val="24"/>
          <w:szCs w:val="24"/>
          <w:u w:val="single"/>
        </w:rPr>
        <w:t>Impuesto Diferido</w:t>
      </w:r>
    </w:p>
    <w:p w:rsidR="00340EA6" w:rsidRDefault="00340EA6" w:rsidP="00D4518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C62DD" w:rsidRDefault="008C62DD" w:rsidP="008C62DD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debe calcular con los requerimientos de la sección 29.</w:t>
      </w:r>
    </w:p>
    <w:p w:rsidR="008C62DD" w:rsidRDefault="008C62DD" w:rsidP="008C62DD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C62DD" w:rsidRPr="008E0BA4" w:rsidRDefault="008C62DD" w:rsidP="00D4518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8C62DD" w:rsidRPr="008E0BA4" w:rsidSect="008E0BA4">
      <w:headerReference w:type="default" r:id="rId11"/>
      <w:footerReference w:type="default" r:id="rId12"/>
      <w:pgSz w:w="12240" w:h="15840" w:code="1"/>
      <w:pgMar w:top="1077" w:right="1418" w:bottom="1077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6B" w:rsidRDefault="005F236B" w:rsidP="00511471">
      <w:pPr>
        <w:spacing w:after="0" w:line="240" w:lineRule="auto"/>
      </w:pPr>
      <w:r>
        <w:separator/>
      </w:r>
    </w:p>
  </w:endnote>
  <w:endnote w:type="continuationSeparator" w:id="0">
    <w:p w:rsidR="005F236B" w:rsidRDefault="005F236B" w:rsidP="0051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0" w:rsidRDefault="00197862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6985" t="0" r="635" b="254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EA0" w:rsidRDefault="00E1326A">
                          <w:pPr>
                            <w:jc w:val="center"/>
                            <w:rPr>
                              <w:szCs w:val="72"/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 w:rsidR="00293EA0">
                            <w:rPr>
                              <w:lang w:val="es-ES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3665F4" w:rsidRPr="003665F4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1" o:spid="_x0000_s1026" type="#_x0000_t5" style="position:absolute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" adj="21600" fillcolor="#d2eaf1" stroked="f">
              <v:textbox>
                <w:txbxContent>
                  <w:p w:rsidR="00293EA0" w:rsidRDefault="00E1326A">
                    <w:pPr>
                      <w:jc w:val="center"/>
                      <w:rPr>
                        <w:szCs w:val="72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293EA0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3665F4" w:rsidRPr="003665F4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6B" w:rsidRDefault="005F236B" w:rsidP="00511471">
      <w:pPr>
        <w:spacing w:after="0" w:line="240" w:lineRule="auto"/>
      </w:pPr>
      <w:r>
        <w:separator/>
      </w:r>
    </w:p>
  </w:footnote>
  <w:footnote w:type="continuationSeparator" w:id="0">
    <w:p w:rsidR="005F236B" w:rsidRDefault="005F236B" w:rsidP="0051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99" w:type="dxa"/>
      <w:tblInd w:w="-1452" w:type="dxa"/>
      <w:tblBorders>
        <w:top w:val="single" w:sz="12" w:space="0" w:color="C6D9F1"/>
        <w:bottom w:val="single" w:sz="12" w:space="0" w:color="C6D9F1"/>
      </w:tblBorders>
      <w:shd w:val="clear" w:color="auto" w:fill="0066FF"/>
      <w:tblLook w:val="04A0" w:firstRow="1" w:lastRow="0" w:firstColumn="1" w:lastColumn="0" w:noHBand="0" w:noVBand="1"/>
    </w:tblPr>
    <w:tblGrid>
      <w:gridCol w:w="12799"/>
    </w:tblGrid>
    <w:tr w:rsidR="00293EA0" w:rsidRPr="007F0272" w:rsidTr="005B5BA9">
      <w:trPr>
        <w:trHeight w:val="460"/>
      </w:trPr>
      <w:tc>
        <w:tcPr>
          <w:tcW w:w="12799" w:type="dxa"/>
          <w:shd w:val="clear" w:color="auto" w:fill="0066FF"/>
          <w:vAlign w:val="center"/>
        </w:tcPr>
        <w:p w:rsidR="00010C7C" w:rsidRDefault="003665F4" w:rsidP="00F51377">
          <w:pPr>
            <w:pStyle w:val="Encabezado"/>
            <w:rPr>
              <w:rFonts w:ascii="Arial Rounded MT Bold" w:hAnsi="Arial Rounded MT Bold"/>
              <w:color w:val="FFFFFF"/>
              <w:szCs w:val="24"/>
            </w:rPr>
          </w:pPr>
          <w:r>
            <w:rPr>
              <w:rFonts w:ascii="Arial Rounded MT Bold" w:hAnsi="Arial Rounded MT Bold"/>
              <w:color w:val="FFFFFF"/>
              <w:szCs w:val="24"/>
            </w:rPr>
            <w:t>Compañía Colombia</w:t>
          </w:r>
        </w:p>
        <w:p w:rsidR="00293EA0" w:rsidRPr="007F0272" w:rsidRDefault="00293EA0" w:rsidP="00F51377">
          <w:pPr>
            <w:pStyle w:val="Encabezado"/>
            <w:rPr>
              <w:rFonts w:ascii="Arial Rounded MT Bold" w:hAnsi="Arial Rounded MT Bold"/>
              <w:color w:val="FFFFFF"/>
              <w:sz w:val="24"/>
              <w:szCs w:val="24"/>
            </w:rPr>
          </w:pPr>
          <w:r>
            <w:rPr>
              <w:rFonts w:ascii="Arial Rounded MT Bold" w:hAnsi="Arial Rounded MT Bold"/>
              <w:color w:val="FFFFFF"/>
              <w:szCs w:val="24"/>
            </w:rPr>
            <w:t xml:space="preserve">TALLER DE APLICACIÓN POR PRIMERA VEZ </w:t>
          </w:r>
          <w:r w:rsidR="00F052E0">
            <w:rPr>
              <w:rFonts w:ascii="Arial Rounded MT Bold" w:hAnsi="Arial Rounded MT Bold"/>
              <w:color w:val="FFFFFF"/>
              <w:szCs w:val="24"/>
            </w:rPr>
            <w:t xml:space="preserve"> DE LAS NI</w:t>
          </w:r>
          <w:r w:rsidR="00010C7C">
            <w:rPr>
              <w:rFonts w:ascii="Arial Rounded MT Bold" w:hAnsi="Arial Rounded MT Bold"/>
              <w:color w:val="FFFFFF"/>
              <w:szCs w:val="24"/>
            </w:rPr>
            <w:t>I</w:t>
          </w:r>
          <w:r w:rsidR="00F052E0">
            <w:rPr>
              <w:rFonts w:ascii="Arial Rounded MT Bold" w:hAnsi="Arial Rounded MT Bold"/>
              <w:color w:val="FFFFFF"/>
              <w:szCs w:val="24"/>
            </w:rPr>
            <w:t>F</w:t>
          </w:r>
          <w:r w:rsidR="00010C7C">
            <w:rPr>
              <w:rFonts w:ascii="Arial Rounded MT Bold" w:hAnsi="Arial Rounded MT Bold"/>
              <w:color w:val="FFFFFF"/>
              <w:szCs w:val="24"/>
            </w:rPr>
            <w:t xml:space="preserve"> PARA PYMES</w:t>
          </w:r>
        </w:p>
      </w:tc>
    </w:tr>
  </w:tbl>
  <w:p w:rsidR="00293EA0" w:rsidRPr="00CE7163" w:rsidRDefault="00293EA0" w:rsidP="005E2C44">
    <w:pPr>
      <w:pStyle w:val="Encabezado"/>
      <w:jc w:val="right"/>
      <w:rPr>
        <w:rFonts w:ascii="Arial" w:hAnsi="Arial" w:cs="Arial"/>
        <w:sz w:val="10"/>
      </w:rPr>
    </w:pPr>
  </w:p>
  <w:p w:rsidR="00293EA0" w:rsidRDefault="00293EA0" w:rsidP="001B5299">
    <w:pPr>
      <w:pStyle w:val="Encabezado"/>
      <w:jc w:val="right"/>
      <w:rPr>
        <w:rStyle w:val="Hipervnculo"/>
        <w:rFonts w:ascii="Arial" w:hAnsi="Arial" w:cs="Arial"/>
        <w:sz w:val="16"/>
      </w:rPr>
    </w:pPr>
    <w:r>
      <w:rPr>
        <w:rFonts w:ascii="Arial" w:hAnsi="Arial" w:cs="Arial"/>
        <w:sz w:val="16"/>
      </w:rPr>
      <w:t>LUIS HENRY MOYA MORENO</w:t>
    </w:r>
    <w:r w:rsidRPr="00C92648">
      <w:rPr>
        <w:rFonts w:ascii="Arial" w:hAnsi="Arial" w:cs="Arial"/>
        <w:sz w:val="16"/>
      </w:rPr>
      <w:t xml:space="preserve">  </w:t>
    </w:r>
    <w:hyperlink r:id="rId1" w:history="1">
      <w:r w:rsidRPr="004B3FBD">
        <w:rPr>
          <w:rStyle w:val="Hipervnculo"/>
          <w:rFonts w:ascii="Arial" w:hAnsi="Arial" w:cs="Arial"/>
          <w:sz w:val="16"/>
        </w:rPr>
        <w:t>moya-l@javeriana.edu.co</w:t>
      </w:r>
    </w:hyperlink>
  </w:p>
  <w:p w:rsidR="008C62DD" w:rsidRDefault="008C62DD" w:rsidP="001B5299">
    <w:pPr>
      <w:pStyle w:val="Encabezado"/>
      <w:jc w:val="right"/>
      <w:rPr>
        <w:rFonts w:ascii="Arial" w:hAnsi="Arial" w:cs="Arial"/>
        <w:sz w:val="16"/>
      </w:rPr>
    </w:pPr>
    <w:r>
      <w:rPr>
        <w:rStyle w:val="Hipervnculo"/>
        <w:rFonts w:ascii="Arial" w:hAnsi="Arial" w:cs="Arial"/>
        <w:sz w:val="16"/>
      </w:rPr>
      <w:t>Henry.moya@parkerandall.co</w:t>
    </w:r>
  </w:p>
  <w:p w:rsidR="00293EA0" w:rsidRPr="00A12AD2" w:rsidRDefault="00293EA0" w:rsidP="00D54948">
    <w:pPr>
      <w:pStyle w:val="Encabezad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4DE"/>
    <w:multiLevelType w:val="multilevel"/>
    <w:tmpl w:val="19F88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BA1EED"/>
    <w:multiLevelType w:val="hybridMultilevel"/>
    <w:tmpl w:val="FEF0C4A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2EC"/>
    <w:multiLevelType w:val="hybridMultilevel"/>
    <w:tmpl w:val="88E43E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672B"/>
    <w:multiLevelType w:val="hybridMultilevel"/>
    <w:tmpl w:val="6F0CB2F8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00751"/>
    <w:multiLevelType w:val="hybridMultilevel"/>
    <w:tmpl w:val="2D684D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91B"/>
    <w:multiLevelType w:val="hybridMultilevel"/>
    <w:tmpl w:val="DD12A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BB6602"/>
    <w:multiLevelType w:val="hybridMultilevel"/>
    <w:tmpl w:val="D012BE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70B53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2671"/>
    <w:multiLevelType w:val="hybridMultilevel"/>
    <w:tmpl w:val="5D563A16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11DEC"/>
    <w:multiLevelType w:val="hybridMultilevel"/>
    <w:tmpl w:val="E0920320"/>
    <w:lvl w:ilvl="0" w:tplc="9F422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B7AD3"/>
    <w:multiLevelType w:val="hybridMultilevel"/>
    <w:tmpl w:val="2BFCA83A"/>
    <w:lvl w:ilvl="0" w:tplc="F16C6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392744"/>
    <w:multiLevelType w:val="hybridMultilevel"/>
    <w:tmpl w:val="080C0C4E"/>
    <w:lvl w:ilvl="0" w:tplc="E58CB1F6">
      <w:start w:val="1"/>
      <w:numFmt w:val="decimal"/>
      <w:pStyle w:val="NotesHeading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9601C"/>
    <w:multiLevelType w:val="hybridMultilevel"/>
    <w:tmpl w:val="9E106722"/>
    <w:lvl w:ilvl="0" w:tplc="73BA48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B0B2A"/>
    <w:multiLevelType w:val="hybridMultilevel"/>
    <w:tmpl w:val="BB2C3368"/>
    <w:lvl w:ilvl="0" w:tplc="9A620D5A">
      <w:start w:val="3000"/>
      <w:numFmt w:val="bullet"/>
      <w:lvlText w:val="-"/>
      <w:lvlJc w:val="left"/>
      <w:pPr>
        <w:ind w:left="6024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3">
    <w:nsid w:val="7F3F686D"/>
    <w:multiLevelType w:val="hybridMultilevel"/>
    <w:tmpl w:val="7E9804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90"/>
    <w:rsid w:val="00010C7C"/>
    <w:rsid w:val="0001248B"/>
    <w:rsid w:val="00012836"/>
    <w:rsid w:val="00015E55"/>
    <w:rsid w:val="000177C9"/>
    <w:rsid w:val="000226AD"/>
    <w:rsid w:val="00023127"/>
    <w:rsid w:val="000316B2"/>
    <w:rsid w:val="0003753E"/>
    <w:rsid w:val="000502D0"/>
    <w:rsid w:val="0005250F"/>
    <w:rsid w:val="000611F9"/>
    <w:rsid w:val="0008287F"/>
    <w:rsid w:val="000872AF"/>
    <w:rsid w:val="0009317D"/>
    <w:rsid w:val="000A2E07"/>
    <w:rsid w:val="000A6410"/>
    <w:rsid w:val="000B4729"/>
    <w:rsid w:val="000C357F"/>
    <w:rsid w:val="000D0EEE"/>
    <w:rsid w:val="000D1889"/>
    <w:rsid w:val="000D2273"/>
    <w:rsid w:val="000D2BB5"/>
    <w:rsid w:val="000D4FEF"/>
    <w:rsid w:val="000E26BB"/>
    <w:rsid w:val="001068BA"/>
    <w:rsid w:val="0013325A"/>
    <w:rsid w:val="00140BF9"/>
    <w:rsid w:val="00143D06"/>
    <w:rsid w:val="00146F33"/>
    <w:rsid w:val="00164665"/>
    <w:rsid w:val="0017103A"/>
    <w:rsid w:val="00171EBB"/>
    <w:rsid w:val="00185758"/>
    <w:rsid w:val="00193D52"/>
    <w:rsid w:val="00197862"/>
    <w:rsid w:val="001A446A"/>
    <w:rsid w:val="001A68AA"/>
    <w:rsid w:val="001B51A9"/>
    <w:rsid w:val="001B5299"/>
    <w:rsid w:val="001C58E3"/>
    <w:rsid w:val="001D2578"/>
    <w:rsid w:val="001D52C1"/>
    <w:rsid w:val="001E480F"/>
    <w:rsid w:val="001E55C0"/>
    <w:rsid w:val="001E6D60"/>
    <w:rsid w:val="001E7283"/>
    <w:rsid w:val="001F041D"/>
    <w:rsid w:val="001F14E9"/>
    <w:rsid w:val="001F24DC"/>
    <w:rsid w:val="001F2D44"/>
    <w:rsid w:val="00202EFF"/>
    <w:rsid w:val="00207B9C"/>
    <w:rsid w:val="00216D30"/>
    <w:rsid w:val="00216FD1"/>
    <w:rsid w:val="00230794"/>
    <w:rsid w:val="00232DE8"/>
    <w:rsid w:val="00235CC4"/>
    <w:rsid w:val="00237A73"/>
    <w:rsid w:val="0024009E"/>
    <w:rsid w:val="00241E9A"/>
    <w:rsid w:val="0024795D"/>
    <w:rsid w:val="00264270"/>
    <w:rsid w:val="002707B3"/>
    <w:rsid w:val="00273CAE"/>
    <w:rsid w:val="002761DB"/>
    <w:rsid w:val="0027758A"/>
    <w:rsid w:val="0028444B"/>
    <w:rsid w:val="00284D89"/>
    <w:rsid w:val="0028540F"/>
    <w:rsid w:val="0028654A"/>
    <w:rsid w:val="00293EA0"/>
    <w:rsid w:val="00296D0C"/>
    <w:rsid w:val="002B1F82"/>
    <w:rsid w:val="002D5DB3"/>
    <w:rsid w:val="002D652C"/>
    <w:rsid w:val="002E29D7"/>
    <w:rsid w:val="002E3218"/>
    <w:rsid w:val="002E3230"/>
    <w:rsid w:val="002F379F"/>
    <w:rsid w:val="002F4106"/>
    <w:rsid w:val="002F485C"/>
    <w:rsid w:val="003102EE"/>
    <w:rsid w:val="00311593"/>
    <w:rsid w:val="0031449F"/>
    <w:rsid w:val="00327BD8"/>
    <w:rsid w:val="00334E9A"/>
    <w:rsid w:val="003400B2"/>
    <w:rsid w:val="00340EA6"/>
    <w:rsid w:val="00346272"/>
    <w:rsid w:val="00361E73"/>
    <w:rsid w:val="00364C43"/>
    <w:rsid w:val="003665F4"/>
    <w:rsid w:val="00373553"/>
    <w:rsid w:val="00376138"/>
    <w:rsid w:val="003767C8"/>
    <w:rsid w:val="003A2392"/>
    <w:rsid w:val="003B0078"/>
    <w:rsid w:val="003B73ED"/>
    <w:rsid w:val="003B75F1"/>
    <w:rsid w:val="003C0D8B"/>
    <w:rsid w:val="003C573B"/>
    <w:rsid w:val="003C7FE4"/>
    <w:rsid w:val="003F4318"/>
    <w:rsid w:val="003F64FC"/>
    <w:rsid w:val="003F7BBF"/>
    <w:rsid w:val="00404B90"/>
    <w:rsid w:val="00422B97"/>
    <w:rsid w:val="004246D4"/>
    <w:rsid w:val="00425ECC"/>
    <w:rsid w:val="0042601E"/>
    <w:rsid w:val="0043646D"/>
    <w:rsid w:val="00442729"/>
    <w:rsid w:val="00452B98"/>
    <w:rsid w:val="00471E71"/>
    <w:rsid w:val="004800BF"/>
    <w:rsid w:val="00481504"/>
    <w:rsid w:val="00484242"/>
    <w:rsid w:val="00495208"/>
    <w:rsid w:val="00497042"/>
    <w:rsid w:val="004A58C7"/>
    <w:rsid w:val="004B0A6C"/>
    <w:rsid w:val="004C28F2"/>
    <w:rsid w:val="004D1BBF"/>
    <w:rsid w:val="004F0643"/>
    <w:rsid w:val="004F4E5E"/>
    <w:rsid w:val="00501D4F"/>
    <w:rsid w:val="005027BA"/>
    <w:rsid w:val="00503BE2"/>
    <w:rsid w:val="00511471"/>
    <w:rsid w:val="00512B17"/>
    <w:rsid w:val="00520709"/>
    <w:rsid w:val="00522164"/>
    <w:rsid w:val="00532196"/>
    <w:rsid w:val="00547220"/>
    <w:rsid w:val="00547548"/>
    <w:rsid w:val="00554FA5"/>
    <w:rsid w:val="00556991"/>
    <w:rsid w:val="005637B7"/>
    <w:rsid w:val="00566A8D"/>
    <w:rsid w:val="00582729"/>
    <w:rsid w:val="005875C0"/>
    <w:rsid w:val="005907A4"/>
    <w:rsid w:val="005B20F2"/>
    <w:rsid w:val="005B5BA9"/>
    <w:rsid w:val="005C735A"/>
    <w:rsid w:val="005C7A90"/>
    <w:rsid w:val="005E2C44"/>
    <w:rsid w:val="005E36FC"/>
    <w:rsid w:val="005E5C34"/>
    <w:rsid w:val="005F236B"/>
    <w:rsid w:val="005F7001"/>
    <w:rsid w:val="00601F2F"/>
    <w:rsid w:val="00604046"/>
    <w:rsid w:val="00626B1C"/>
    <w:rsid w:val="00632F84"/>
    <w:rsid w:val="006371F0"/>
    <w:rsid w:val="006412EE"/>
    <w:rsid w:val="006414CD"/>
    <w:rsid w:val="00646466"/>
    <w:rsid w:val="00650AB4"/>
    <w:rsid w:val="00650AB6"/>
    <w:rsid w:val="00666A5D"/>
    <w:rsid w:val="00670D7C"/>
    <w:rsid w:val="00672753"/>
    <w:rsid w:val="00673AEB"/>
    <w:rsid w:val="0067633C"/>
    <w:rsid w:val="00677FDF"/>
    <w:rsid w:val="00696F6B"/>
    <w:rsid w:val="006C0B50"/>
    <w:rsid w:val="006D299E"/>
    <w:rsid w:val="006D654D"/>
    <w:rsid w:val="006E2A17"/>
    <w:rsid w:val="006E4453"/>
    <w:rsid w:val="006E707C"/>
    <w:rsid w:val="006F1028"/>
    <w:rsid w:val="0070145C"/>
    <w:rsid w:val="007102F9"/>
    <w:rsid w:val="00714CC9"/>
    <w:rsid w:val="007178DC"/>
    <w:rsid w:val="00720B06"/>
    <w:rsid w:val="00724811"/>
    <w:rsid w:val="00731BA0"/>
    <w:rsid w:val="007463E1"/>
    <w:rsid w:val="00753342"/>
    <w:rsid w:val="00762AEE"/>
    <w:rsid w:val="00773882"/>
    <w:rsid w:val="007904AC"/>
    <w:rsid w:val="007B0E55"/>
    <w:rsid w:val="007B70EB"/>
    <w:rsid w:val="007C15A3"/>
    <w:rsid w:val="007C18C8"/>
    <w:rsid w:val="007C2914"/>
    <w:rsid w:val="007C4FB2"/>
    <w:rsid w:val="007C6A85"/>
    <w:rsid w:val="007E4F5C"/>
    <w:rsid w:val="00805205"/>
    <w:rsid w:val="00810D47"/>
    <w:rsid w:val="00826629"/>
    <w:rsid w:val="00830A2F"/>
    <w:rsid w:val="00847CE5"/>
    <w:rsid w:val="008707DC"/>
    <w:rsid w:val="00876A01"/>
    <w:rsid w:val="008841C0"/>
    <w:rsid w:val="00885959"/>
    <w:rsid w:val="008866E2"/>
    <w:rsid w:val="008A3C94"/>
    <w:rsid w:val="008A530C"/>
    <w:rsid w:val="008B02D1"/>
    <w:rsid w:val="008B2BDB"/>
    <w:rsid w:val="008C0EB0"/>
    <w:rsid w:val="008C2491"/>
    <w:rsid w:val="008C44CE"/>
    <w:rsid w:val="008C5CDF"/>
    <w:rsid w:val="008C62DD"/>
    <w:rsid w:val="008D781B"/>
    <w:rsid w:val="008E0BA4"/>
    <w:rsid w:val="008F19CF"/>
    <w:rsid w:val="00911E52"/>
    <w:rsid w:val="00915263"/>
    <w:rsid w:val="00915822"/>
    <w:rsid w:val="00921604"/>
    <w:rsid w:val="00926860"/>
    <w:rsid w:val="00931BC9"/>
    <w:rsid w:val="009336CE"/>
    <w:rsid w:val="0094507C"/>
    <w:rsid w:val="009455F8"/>
    <w:rsid w:val="00953CA7"/>
    <w:rsid w:val="00955805"/>
    <w:rsid w:val="009632FD"/>
    <w:rsid w:val="00971B2B"/>
    <w:rsid w:val="00972FF2"/>
    <w:rsid w:val="00984C6F"/>
    <w:rsid w:val="009952BD"/>
    <w:rsid w:val="00995A2B"/>
    <w:rsid w:val="00995C09"/>
    <w:rsid w:val="009A6D04"/>
    <w:rsid w:val="009B3FBB"/>
    <w:rsid w:val="009C097F"/>
    <w:rsid w:val="009C57F4"/>
    <w:rsid w:val="009C5DB2"/>
    <w:rsid w:val="009D0049"/>
    <w:rsid w:val="009D7F76"/>
    <w:rsid w:val="009E07C1"/>
    <w:rsid w:val="009E74FD"/>
    <w:rsid w:val="00A12AD2"/>
    <w:rsid w:val="00A14B06"/>
    <w:rsid w:val="00A201FE"/>
    <w:rsid w:val="00A2449B"/>
    <w:rsid w:val="00A35DF1"/>
    <w:rsid w:val="00A46F76"/>
    <w:rsid w:val="00A47B12"/>
    <w:rsid w:val="00A502D0"/>
    <w:rsid w:val="00A52209"/>
    <w:rsid w:val="00A5276B"/>
    <w:rsid w:val="00A636D7"/>
    <w:rsid w:val="00A653C6"/>
    <w:rsid w:val="00A72B61"/>
    <w:rsid w:val="00A8259D"/>
    <w:rsid w:val="00A83E2C"/>
    <w:rsid w:val="00A845F7"/>
    <w:rsid w:val="00A94C9D"/>
    <w:rsid w:val="00AA5399"/>
    <w:rsid w:val="00AB2289"/>
    <w:rsid w:val="00AB60D5"/>
    <w:rsid w:val="00AC0C31"/>
    <w:rsid w:val="00AC6CA4"/>
    <w:rsid w:val="00AD1B70"/>
    <w:rsid w:val="00AD5E1C"/>
    <w:rsid w:val="00AE39B7"/>
    <w:rsid w:val="00AE4763"/>
    <w:rsid w:val="00AE547B"/>
    <w:rsid w:val="00AE5792"/>
    <w:rsid w:val="00B0063E"/>
    <w:rsid w:val="00B057B8"/>
    <w:rsid w:val="00B17F22"/>
    <w:rsid w:val="00B20393"/>
    <w:rsid w:val="00B26DA9"/>
    <w:rsid w:val="00B4004C"/>
    <w:rsid w:val="00B4798C"/>
    <w:rsid w:val="00B66CD2"/>
    <w:rsid w:val="00B67BA3"/>
    <w:rsid w:val="00B710F6"/>
    <w:rsid w:val="00B72B59"/>
    <w:rsid w:val="00B8101E"/>
    <w:rsid w:val="00B812D9"/>
    <w:rsid w:val="00B90847"/>
    <w:rsid w:val="00B9514D"/>
    <w:rsid w:val="00BA1154"/>
    <w:rsid w:val="00BA3F45"/>
    <w:rsid w:val="00BA4041"/>
    <w:rsid w:val="00BA6E26"/>
    <w:rsid w:val="00BB247B"/>
    <w:rsid w:val="00BB28F6"/>
    <w:rsid w:val="00BB3BF1"/>
    <w:rsid w:val="00BB549D"/>
    <w:rsid w:val="00BB5667"/>
    <w:rsid w:val="00BB6423"/>
    <w:rsid w:val="00BC2758"/>
    <w:rsid w:val="00BD01A6"/>
    <w:rsid w:val="00BD2DF1"/>
    <w:rsid w:val="00BE4BEB"/>
    <w:rsid w:val="00BE51C3"/>
    <w:rsid w:val="00BF0B2A"/>
    <w:rsid w:val="00BF3108"/>
    <w:rsid w:val="00BF429C"/>
    <w:rsid w:val="00C15102"/>
    <w:rsid w:val="00C32193"/>
    <w:rsid w:val="00C33CEC"/>
    <w:rsid w:val="00C62E5B"/>
    <w:rsid w:val="00C7203F"/>
    <w:rsid w:val="00C77431"/>
    <w:rsid w:val="00C9046A"/>
    <w:rsid w:val="00C9279B"/>
    <w:rsid w:val="00C934D9"/>
    <w:rsid w:val="00C96830"/>
    <w:rsid w:val="00CA70DD"/>
    <w:rsid w:val="00CC401B"/>
    <w:rsid w:val="00CD0F66"/>
    <w:rsid w:val="00CD2AD9"/>
    <w:rsid w:val="00CD688B"/>
    <w:rsid w:val="00CD7474"/>
    <w:rsid w:val="00CD76C1"/>
    <w:rsid w:val="00D002E4"/>
    <w:rsid w:val="00D01286"/>
    <w:rsid w:val="00D019A6"/>
    <w:rsid w:val="00D10A16"/>
    <w:rsid w:val="00D10E45"/>
    <w:rsid w:val="00D16569"/>
    <w:rsid w:val="00D32FEC"/>
    <w:rsid w:val="00D408D6"/>
    <w:rsid w:val="00D45189"/>
    <w:rsid w:val="00D5063E"/>
    <w:rsid w:val="00D508F6"/>
    <w:rsid w:val="00D54948"/>
    <w:rsid w:val="00D57741"/>
    <w:rsid w:val="00D624C9"/>
    <w:rsid w:val="00D6281F"/>
    <w:rsid w:val="00D64ADF"/>
    <w:rsid w:val="00D65D3B"/>
    <w:rsid w:val="00D7194F"/>
    <w:rsid w:val="00D7641A"/>
    <w:rsid w:val="00D81C88"/>
    <w:rsid w:val="00D821A1"/>
    <w:rsid w:val="00D853D1"/>
    <w:rsid w:val="00D876C6"/>
    <w:rsid w:val="00D90D0A"/>
    <w:rsid w:val="00D93DA1"/>
    <w:rsid w:val="00D96B17"/>
    <w:rsid w:val="00DA074F"/>
    <w:rsid w:val="00DB1F8A"/>
    <w:rsid w:val="00DB40EA"/>
    <w:rsid w:val="00DC1FEC"/>
    <w:rsid w:val="00DC5869"/>
    <w:rsid w:val="00DD0B1E"/>
    <w:rsid w:val="00DD2F17"/>
    <w:rsid w:val="00DD4860"/>
    <w:rsid w:val="00DD48C8"/>
    <w:rsid w:val="00DD6F91"/>
    <w:rsid w:val="00DE33DD"/>
    <w:rsid w:val="00E123AA"/>
    <w:rsid w:val="00E12698"/>
    <w:rsid w:val="00E1326A"/>
    <w:rsid w:val="00E311C1"/>
    <w:rsid w:val="00E328A6"/>
    <w:rsid w:val="00E42C64"/>
    <w:rsid w:val="00E53306"/>
    <w:rsid w:val="00E540DC"/>
    <w:rsid w:val="00E67250"/>
    <w:rsid w:val="00E70C92"/>
    <w:rsid w:val="00E7289B"/>
    <w:rsid w:val="00E731AB"/>
    <w:rsid w:val="00E971C6"/>
    <w:rsid w:val="00EA09CA"/>
    <w:rsid w:val="00EA29F6"/>
    <w:rsid w:val="00EA7691"/>
    <w:rsid w:val="00EB1285"/>
    <w:rsid w:val="00EB4FA2"/>
    <w:rsid w:val="00EB6B97"/>
    <w:rsid w:val="00EC0581"/>
    <w:rsid w:val="00EC5591"/>
    <w:rsid w:val="00EC7B01"/>
    <w:rsid w:val="00ED0590"/>
    <w:rsid w:val="00ED0C67"/>
    <w:rsid w:val="00ED3B35"/>
    <w:rsid w:val="00ED3DAF"/>
    <w:rsid w:val="00EE315A"/>
    <w:rsid w:val="00EE3D1D"/>
    <w:rsid w:val="00EE414B"/>
    <w:rsid w:val="00EE44C3"/>
    <w:rsid w:val="00EE70B2"/>
    <w:rsid w:val="00F01C41"/>
    <w:rsid w:val="00F052E0"/>
    <w:rsid w:val="00F0794C"/>
    <w:rsid w:val="00F124A4"/>
    <w:rsid w:val="00F13352"/>
    <w:rsid w:val="00F15C38"/>
    <w:rsid w:val="00F16795"/>
    <w:rsid w:val="00F21426"/>
    <w:rsid w:val="00F21511"/>
    <w:rsid w:val="00F268C6"/>
    <w:rsid w:val="00F36A56"/>
    <w:rsid w:val="00F45662"/>
    <w:rsid w:val="00F50E81"/>
    <w:rsid w:val="00F51377"/>
    <w:rsid w:val="00F55D4C"/>
    <w:rsid w:val="00F57AA9"/>
    <w:rsid w:val="00F609D3"/>
    <w:rsid w:val="00F6315F"/>
    <w:rsid w:val="00F72F58"/>
    <w:rsid w:val="00F858B5"/>
    <w:rsid w:val="00F926FC"/>
    <w:rsid w:val="00FA0E26"/>
    <w:rsid w:val="00FA2CFC"/>
    <w:rsid w:val="00FA4705"/>
    <w:rsid w:val="00FB3602"/>
    <w:rsid w:val="00FB7326"/>
    <w:rsid w:val="00FC708D"/>
    <w:rsid w:val="00FD4871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A5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5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media2-nfasis11">
    <w:name w:val="Lista media 2 - Énfasis 11"/>
    <w:basedOn w:val="Tablanormal"/>
    <w:uiPriority w:val="66"/>
    <w:rsid w:val="00ED0590"/>
    <w:rPr>
      <w:rFonts w:ascii="Cambria" w:eastAsia="Times New Roman" w:hAnsi="Cambria"/>
      <w:color w:val="000000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is51">
    <w:name w:val="Lista clara - Énfasis 51"/>
    <w:basedOn w:val="Tablanormal"/>
    <w:uiPriority w:val="61"/>
    <w:rsid w:val="00ED05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cabezado">
    <w:name w:val="header"/>
    <w:basedOn w:val="Normal"/>
    <w:link w:val="EncabezadoCar"/>
    <w:unhideWhenUsed/>
    <w:rsid w:val="00511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1471"/>
  </w:style>
  <w:style w:type="paragraph" w:styleId="Piedepgina">
    <w:name w:val="footer"/>
    <w:basedOn w:val="Normal"/>
    <w:link w:val="PiedepginaCar"/>
    <w:uiPriority w:val="99"/>
    <w:unhideWhenUsed/>
    <w:rsid w:val="00511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471"/>
  </w:style>
  <w:style w:type="character" w:styleId="Hipervnculo">
    <w:name w:val="Hyperlink"/>
    <w:basedOn w:val="Fuentedeprrafopredeter"/>
    <w:uiPriority w:val="99"/>
    <w:unhideWhenUsed/>
    <w:rsid w:val="00511471"/>
    <w:rPr>
      <w:color w:val="0000FF"/>
      <w:u w:val="single"/>
    </w:rPr>
  </w:style>
  <w:style w:type="paragraph" w:customStyle="1" w:styleId="Prrafodelista1">
    <w:name w:val="Párrafo de lista1"/>
    <w:basedOn w:val="Normal"/>
    <w:uiPriority w:val="34"/>
    <w:qFormat/>
    <w:rsid w:val="00CD0F66"/>
    <w:pPr>
      <w:ind w:left="720"/>
      <w:contextualSpacing/>
    </w:pPr>
  </w:style>
  <w:style w:type="character" w:customStyle="1" w:styleId="google-src-text1">
    <w:name w:val="google-src-text1"/>
    <w:basedOn w:val="Fuentedeprrafopredeter"/>
    <w:rsid w:val="00DC5869"/>
    <w:rPr>
      <w:vanish/>
      <w:webHidden w:val="0"/>
      <w:specVanish w:val="0"/>
    </w:rPr>
  </w:style>
  <w:style w:type="paragraph" w:customStyle="1" w:styleId="NotesHeading">
    <w:name w:val="Notes Heading"/>
    <w:basedOn w:val="Textoindependiente"/>
    <w:next w:val="Sangradetextonormal"/>
    <w:rsid w:val="001B5299"/>
    <w:pPr>
      <w:keepNext/>
      <w:numPr>
        <w:numId w:val="2"/>
      </w:numPr>
      <w:tabs>
        <w:tab w:val="left" w:pos="475"/>
      </w:tabs>
      <w:spacing w:before="240" w:line="240" w:lineRule="auto"/>
    </w:pPr>
    <w:rPr>
      <w:rFonts w:ascii="Times New Roman" w:eastAsia="Times New Roman" w:hAnsi="Times New Roman"/>
      <w:b/>
      <w:caps/>
      <w:sz w:val="24"/>
      <w:szCs w:val="20"/>
    </w:rPr>
  </w:style>
  <w:style w:type="paragraph" w:styleId="Textoindependiente">
    <w:name w:val="Body Text"/>
    <w:basedOn w:val="Normal"/>
    <w:rsid w:val="001B5299"/>
    <w:pPr>
      <w:spacing w:after="120"/>
    </w:pPr>
  </w:style>
  <w:style w:type="paragraph" w:styleId="Sangradetextonormal">
    <w:name w:val="Body Text Indent"/>
    <w:basedOn w:val="Normal"/>
    <w:rsid w:val="001B5299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AB60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07C"/>
    <w:rPr>
      <w:rFonts w:ascii="Tahoma" w:hAnsi="Tahoma" w:cs="Tahoma"/>
      <w:sz w:val="16"/>
      <w:szCs w:val="16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D54948"/>
    <w:rPr>
      <w:color w:val="800080" w:themeColor="followedHyperlink"/>
      <w:u w:val="single"/>
    </w:rPr>
  </w:style>
  <w:style w:type="paragraph" w:customStyle="1" w:styleId="Default">
    <w:name w:val="Default"/>
    <w:rsid w:val="00666A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customStyle="1" w:styleId="CM178">
    <w:name w:val="CM178"/>
    <w:basedOn w:val="Default"/>
    <w:next w:val="Default"/>
    <w:uiPriority w:val="99"/>
    <w:rsid w:val="00666A5D"/>
    <w:rPr>
      <w:color w:val="auto"/>
    </w:rPr>
  </w:style>
  <w:style w:type="paragraph" w:customStyle="1" w:styleId="CM1771">
    <w:name w:val="CM177+1"/>
    <w:basedOn w:val="Default"/>
    <w:next w:val="Default"/>
    <w:uiPriority w:val="99"/>
    <w:rsid w:val="00666A5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A5"/>
    <w:pPr>
      <w:spacing w:after="200" w:line="276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5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media2-nfasis11">
    <w:name w:val="Lista media 2 - Énfasis 11"/>
    <w:basedOn w:val="Tablanormal"/>
    <w:uiPriority w:val="66"/>
    <w:rsid w:val="00ED0590"/>
    <w:rPr>
      <w:rFonts w:ascii="Cambria" w:eastAsia="Times New Roman" w:hAnsi="Cambria"/>
      <w:color w:val="000000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is51">
    <w:name w:val="Lista clara - Énfasis 51"/>
    <w:basedOn w:val="Tablanormal"/>
    <w:uiPriority w:val="61"/>
    <w:rsid w:val="00ED05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cabezado">
    <w:name w:val="header"/>
    <w:basedOn w:val="Normal"/>
    <w:link w:val="EncabezadoCar"/>
    <w:unhideWhenUsed/>
    <w:rsid w:val="00511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1471"/>
  </w:style>
  <w:style w:type="paragraph" w:styleId="Piedepgina">
    <w:name w:val="footer"/>
    <w:basedOn w:val="Normal"/>
    <w:link w:val="PiedepginaCar"/>
    <w:uiPriority w:val="99"/>
    <w:unhideWhenUsed/>
    <w:rsid w:val="00511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471"/>
  </w:style>
  <w:style w:type="character" w:styleId="Hipervnculo">
    <w:name w:val="Hyperlink"/>
    <w:basedOn w:val="Fuentedeprrafopredeter"/>
    <w:uiPriority w:val="99"/>
    <w:unhideWhenUsed/>
    <w:rsid w:val="00511471"/>
    <w:rPr>
      <w:color w:val="0000FF"/>
      <w:u w:val="single"/>
    </w:rPr>
  </w:style>
  <w:style w:type="paragraph" w:customStyle="1" w:styleId="Prrafodelista1">
    <w:name w:val="Párrafo de lista1"/>
    <w:basedOn w:val="Normal"/>
    <w:uiPriority w:val="34"/>
    <w:qFormat/>
    <w:rsid w:val="00CD0F66"/>
    <w:pPr>
      <w:ind w:left="720"/>
      <w:contextualSpacing/>
    </w:pPr>
  </w:style>
  <w:style w:type="character" w:customStyle="1" w:styleId="google-src-text1">
    <w:name w:val="google-src-text1"/>
    <w:basedOn w:val="Fuentedeprrafopredeter"/>
    <w:rsid w:val="00DC5869"/>
    <w:rPr>
      <w:vanish/>
      <w:webHidden w:val="0"/>
      <w:specVanish w:val="0"/>
    </w:rPr>
  </w:style>
  <w:style w:type="paragraph" w:customStyle="1" w:styleId="NotesHeading">
    <w:name w:val="Notes Heading"/>
    <w:basedOn w:val="Textoindependiente"/>
    <w:next w:val="Sangradetextonormal"/>
    <w:rsid w:val="001B5299"/>
    <w:pPr>
      <w:keepNext/>
      <w:numPr>
        <w:numId w:val="2"/>
      </w:numPr>
      <w:tabs>
        <w:tab w:val="left" w:pos="475"/>
      </w:tabs>
      <w:spacing w:before="240" w:line="240" w:lineRule="auto"/>
    </w:pPr>
    <w:rPr>
      <w:rFonts w:ascii="Times New Roman" w:eastAsia="Times New Roman" w:hAnsi="Times New Roman"/>
      <w:b/>
      <w:caps/>
      <w:sz w:val="24"/>
      <w:szCs w:val="20"/>
    </w:rPr>
  </w:style>
  <w:style w:type="paragraph" w:styleId="Textoindependiente">
    <w:name w:val="Body Text"/>
    <w:basedOn w:val="Normal"/>
    <w:rsid w:val="001B5299"/>
    <w:pPr>
      <w:spacing w:after="120"/>
    </w:pPr>
  </w:style>
  <w:style w:type="paragraph" w:styleId="Sangradetextonormal">
    <w:name w:val="Body Text Indent"/>
    <w:basedOn w:val="Normal"/>
    <w:rsid w:val="001B5299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AB60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07C"/>
    <w:rPr>
      <w:rFonts w:ascii="Tahoma" w:hAnsi="Tahoma" w:cs="Tahoma"/>
      <w:sz w:val="16"/>
      <w:szCs w:val="16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D54948"/>
    <w:rPr>
      <w:color w:val="800080" w:themeColor="followedHyperlink"/>
      <w:u w:val="single"/>
    </w:rPr>
  </w:style>
  <w:style w:type="paragraph" w:customStyle="1" w:styleId="Default">
    <w:name w:val="Default"/>
    <w:rsid w:val="00666A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customStyle="1" w:styleId="CM178">
    <w:name w:val="CM178"/>
    <w:basedOn w:val="Default"/>
    <w:next w:val="Default"/>
    <w:uiPriority w:val="99"/>
    <w:rsid w:val="00666A5D"/>
    <w:rPr>
      <w:color w:val="auto"/>
    </w:rPr>
  </w:style>
  <w:style w:type="paragraph" w:customStyle="1" w:styleId="CM1771">
    <w:name w:val="CM177+1"/>
    <w:basedOn w:val="Default"/>
    <w:next w:val="Default"/>
    <w:uiPriority w:val="99"/>
    <w:rsid w:val="00666A5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ya-l@javeriana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97021-32F2-4555-AA03-67D98FA1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10</Pages>
  <Words>2531</Words>
  <Characters>13925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CODIFICACION  DE NORMAS INTERNACIONALES</vt:lpstr>
      <vt:lpstr>CODIFICACION  DE NORMAS INTERNACIONALES </vt:lpstr>
    </vt:vector>
  </TitlesOfParts>
  <Company>Hewlett-Packard</Company>
  <LinksUpToDate>false</LinksUpToDate>
  <CharactersWithSpaces>16424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mailto:moya-l@javeriana.edu.co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CODIFICACION  DE NORMAS INTERNACIONALES</dc:title>
  <dc:creator>HUMBERTO</dc:creator>
  <cp:lastModifiedBy>usuario</cp:lastModifiedBy>
  <cp:revision>144</cp:revision>
  <cp:lastPrinted>2009-02-19T21:14:00Z</cp:lastPrinted>
  <dcterms:created xsi:type="dcterms:W3CDTF">2013-11-17T20:33:00Z</dcterms:created>
  <dcterms:modified xsi:type="dcterms:W3CDTF">2014-08-05T04:35:00Z</dcterms:modified>
</cp:coreProperties>
</file>