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F812" w14:textId="77777777" w:rsidR="000612C8" w:rsidRPr="003E0A78" w:rsidRDefault="000612C8" w:rsidP="000612C8">
      <w:pPr>
        <w:spacing w:after="160" w:line="259" w:lineRule="auto"/>
        <w:jc w:val="center"/>
        <w:rPr>
          <w:b/>
        </w:rPr>
      </w:pPr>
      <w:r w:rsidRPr="003E0A78">
        <w:rPr>
          <w:b/>
        </w:rPr>
        <w:t>DESCRIPCIÓN DE LA HERRAMIENTA DE AUTODIAGNÓSTICO</w:t>
      </w:r>
    </w:p>
    <w:p w14:paraId="5D71B9A8" w14:textId="77777777" w:rsidR="000612C8" w:rsidRPr="003E0A78" w:rsidRDefault="000612C8" w:rsidP="000612C8">
      <w:pPr>
        <w:pStyle w:val="Textoindependiente"/>
        <w:spacing w:before="3"/>
        <w:rPr>
          <w:rFonts w:ascii="Arial Narrow" w:hAnsi="Arial Narrow"/>
          <w:b/>
          <w:sz w:val="22"/>
          <w:szCs w:val="22"/>
        </w:rPr>
      </w:pPr>
    </w:p>
    <w:p w14:paraId="6EEC4A2E" w14:textId="77777777" w:rsidR="000612C8" w:rsidRPr="003E0A78" w:rsidRDefault="000612C8" w:rsidP="000612C8">
      <w:pPr>
        <w:pStyle w:val="Textoindependiente"/>
        <w:ind w:left="116" w:right="162"/>
        <w:jc w:val="both"/>
        <w:rPr>
          <w:rFonts w:ascii="Arial Narrow" w:hAnsi="Arial Narrow"/>
          <w:sz w:val="22"/>
          <w:szCs w:val="22"/>
        </w:rPr>
      </w:pPr>
      <w:r w:rsidRPr="003E0A78">
        <w:rPr>
          <w:rFonts w:ascii="Arial Narrow" w:hAnsi="Arial Narrow"/>
          <w:sz w:val="22"/>
          <w:szCs w:val="22"/>
        </w:rPr>
        <w:t>El autodiagnóstico es una herramienta para determinar las habilidades internas y externas con las que cuentan las empresas y conectarlas con las entidades asesoras del ecosistema nacional que tienen la capacidad para ayudarlas a ser más competitivas y rentables a través de la innovación.</w:t>
      </w:r>
    </w:p>
    <w:p w14:paraId="226D3328" w14:textId="114BC057" w:rsidR="000612C8" w:rsidRPr="003E0A78" w:rsidRDefault="000612C8" w:rsidP="000612C8">
      <w:pPr>
        <w:pStyle w:val="Textoindependiente"/>
        <w:spacing w:before="119"/>
        <w:ind w:left="116" w:right="162"/>
        <w:jc w:val="both"/>
        <w:rPr>
          <w:rFonts w:ascii="Arial Narrow" w:hAnsi="Arial Narrow"/>
          <w:sz w:val="22"/>
          <w:szCs w:val="22"/>
        </w:rPr>
      </w:pPr>
      <w:bookmarkStart w:id="0" w:name="_GoBack"/>
      <w:bookmarkEnd w:id="0"/>
      <w:r w:rsidRPr="003E0A78">
        <w:rPr>
          <w:rFonts w:ascii="Arial Narrow" w:hAnsi="Arial Narrow"/>
          <w:sz w:val="22"/>
          <w:szCs w:val="22"/>
        </w:rPr>
        <w:t>La herramienta consiste en la realización de preguntas relacionadas con la empresa, el mercado, la estrategia, los procesos, la articulación con otros actores y su aprendizaje. Las preguntas del autodiagnóstico deben ser diligenciadas por al menos tres integrantes de la empresa (uno de los cuales debe ser miembro de alta dirección). Los puntajes arrojados por las respuestas de las tres personas son promediados y ponderados y se consolidan en un puntaje final para la empresa. De acuerdo con este puntaje la empresa se podrá ubicar en un matriz de innovación como se describe a continuación:</w:t>
      </w:r>
    </w:p>
    <w:p w14:paraId="525055A1" w14:textId="58FB9C4A" w:rsidR="000612C8" w:rsidRDefault="000612C8" w:rsidP="000612C8">
      <w:pPr>
        <w:pStyle w:val="Textoindependiente"/>
        <w:spacing w:before="121"/>
        <w:ind w:left="116" w:right="162"/>
        <w:jc w:val="both"/>
        <w:rPr>
          <w:rFonts w:ascii="Arial Narrow" w:hAnsi="Arial Narrow"/>
          <w:sz w:val="22"/>
          <w:szCs w:val="22"/>
        </w:rPr>
      </w:pPr>
      <w:r w:rsidRPr="003E0A78">
        <w:rPr>
          <w:rFonts w:ascii="Arial Narrow" w:hAnsi="Arial Narrow"/>
          <w:b/>
          <w:sz w:val="22"/>
          <w:szCs w:val="22"/>
        </w:rPr>
        <w:t xml:space="preserve">Matriz de Innovación: </w:t>
      </w:r>
      <w:r w:rsidRPr="003E0A78">
        <w:rPr>
          <w:rFonts w:ascii="Arial Narrow" w:hAnsi="Arial Narrow"/>
          <w:sz w:val="22"/>
          <w:szCs w:val="22"/>
        </w:rPr>
        <w:t>La matriz muestra la ubicación de la empresa en uno de cuatro cuadrantes definidos según la capacidad para gestionar la innovación al interior de la empresa (equipo de trabajo, metodología, procesos, etc.) y la capacidad para impactar el mercado a través de la innovación (ventas, utilidades, inversión en ACTI, participación en el</w:t>
      </w:r>
      <w:r w:rsidRPr="003E0A78">
        <w:rPr>
          <w:rFonts w:ascii="Arial Narrow" w:hAnsi="Arial Narrow"/>
          <w:spacing w:val="-1"/>
          <w:sz w:val="22"/>
          <w:szCs w:val="22"/>
        </w:rPr>
        <w:t xml:space="preserve"> </w:t>
      </w:r>
      <w:r w:rsidRPr="003E0A78">
        <w:rPr>
          <w:rFonts w:ascii="Arial Narrow" w:hAnsi="Arial Narrow"/>
          <w:sz w:val="22"/>
          <w:szCs w:val="22"/>
        </w:rPr>
        <w:t>mercado).</w:t>
      </w:r>
    </w:p>
    <w:p w14:paraId="6EF1E1FE" w14:textId="77777777" w:rsidR="000612C8" w:rsidRPr="003E0A78" w:rsidRDefault="000612C8" w:rsidP="000612C8">
      <w:pPr>
        <w:pStyle w:val="Textoindependiente"/>
        <w:spacing w:before="121"/>
        <w:ind w:left="116" w:right="162"/>
        <w:jc w:val="both"/>
        <w:rPr>
          <w:rFonts w:ascii="Arial Narrow" w:hAnsi="Arial Narrow"/>
          <w:sz w:val="22"/>
          <w:szCs w:val="22"/>
        </w:rPr>
      </w:pPr>
    </w:p>
    <w:p w14:paraId="1ECD962C" w14:textId="51DB08A7" w:rsidR="000612C8" w:rsidRPr="003E0A78" w:rsidRDefault="000612C8" w:rsidP="000612C8">
      <w:pPr>
        <w:pStyle w:val="Textoindependiente"/>
        <w:ind w:left="367"/>
        <w:jc w:val="center"/>
        <w:rPr>
          <w:rFonts w:ascii="Arial Narrow" w:hAnsi="Arial Narrow"/>
          <w:sz w:val="22"/>
          <w:szCs w:val="22"/>
        </w:rPr>
      </w:pPr>
      <w:r w:rsidRPr="003E0A78">
        <w:rPr>
          <w:noProof/>
        </w:rPr>
        <w:drawing>
          <wp:inline distT="0" distB="0" distL="0" distR="0" wp14:anchorId="4C30A463" wp14:editId="011F3BCA">
            <wp:extent cx="3891915" cy="2844862"/>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8" cstate="print"/>
                    <a:stretch>
                      <a:fillRect/>
                    </a:stretch>
                  </pic:blipFill>
                  <pic:spPr>
                    <a:xfrm>
                      <a:off x="0" y="0"/>
                      <a:ext cx="3903063" cy="2853011"/>
                    </a:xfrm>
                    <a:prstGeom prst="rect">
                      <a:avLst/>
                    </a:prstGeom>
                  </pic:spPr>
                </pic:pic>
              </a:graphicData>
            </a:graphic>
          </wp:inline>
        </w:drawing>
      </w:r>
    </w:p>
    <w:p w14:paraId="5006E628" w14:textId="77777777" w:rsidR="000612C8" w:rsidRPr="003E0A78" w:rsidRDefault="000612C8" w:rsidP="000612C8">
      <w:pPr>
        <w:pStyle w:val="Textoindependiente"/>
        <w:spacing w:before="100" w:line="362" w:lineRule="auto"/>
        <w:ind w:left="116" w:right="162"/>
        <w:jc w:val="both"/>
        <w:rPr>
          <w:rFonts w:ascii="Arial Narrow" w:hAnsi="Arial Narrow"/>
          <w:sz w:val="22"/>
          <w:szCs w:val="22"/>
        </w:rPr>
      </w:pPr>
      <w:r w:rsidRPr="003E0A78">
        <w:rPr>
          <w:rFonts w:ascii="Arial Narrow" w:hAnsi="Arial Narrow"/>
          <w:sz w:val="22"/>
          <w:szCs w:val="22"/>
        </w:rPr>
        <w:t>A continuación, se presenta la interpretación de cada uno de los cuadrantes de la matriz de innovación:</w:t>
      </w:r>
    </w:p>
    <w:p w14:paraId="33B87402" w14:textId="77777777" w:rsidR="000612C8" w:rsidRPr="003E0A78" w:rsidRDefault="000612C8" w:rsidP="000612C8">
      <w:pPr>
        <w:pStyle w:val="Prrafodelista"/>
        <w:widowControl w:val="0"/>
        <w:numPr>
          <w:ilvl w:val="0"/>
          <w:numId w:val="1"/>
        </w:numPr>
        <w:tabs>
          <w:tab w:val="left" w:pos="837"/>
        </w:tabs>
        <w:autoSpaceDE w:val="0"/>
        <w:autoSpaceDN w:val="0"/>
        <w:spacing w:before="115" w:after="0" w:line="240" w:lineRule="auto"/>
        <w:ind w:right="162"/>
        <w:contextualSpacing w:val="0"/>
        <w:jc w:val="both"/>
      </w:pPr>
      <w:r w:rsidRPr="003E0A78">
        <w:rPr>
          <w:i/>
        </w:rPr>
        <w:t>Innovadores emergentes</w:t>
      </w:r>
      <w:r w:rsidRPr="003E0A78">
        <w:t>: Reconocen la innovación como un medio de crecimiento sostenible y están empezando a adquirir conocimiento para generar dinámicas en este sentido. Sin embargo, estas organizaciones aún no cuentan con suficientes capacidades para gestionar la innovación en su interior o hacia el</w:t>
      </w:r>
      <w:r w:rsidRPr="003E0A78">
        <w:rPr>
          <w:spacing w:val="-7"/>
        </w:rPr>
        <w:t xml:space="preserve"> </w:t>
      </w:r>
      <w:r w:rsidRPr="003E0A78">
        <w:t>mercado.</w:t>
      </w:r>
    </w:p>
    <w:p w14:paraId="464744A5" w14:textId="11C806CE" w:rsidR="000612C8" w:rsidRPr="003E0A78" w:rsidRDefault="000612C8" w:rsidP="000612C8">
      <w:pPr>
        <w:pStyle w:val="Prrafodelista"/>
        <w:widowControl w:val="0"/>
        <w:numPr>
          <w:ilvl w:val="0"/>
          <w:numId w:val="1"/>
        </w:numPr>
        <w:tabs>
          <w:tab w:val="left" w:pos="837"/>
        </w:tabs>
        <w:autoSpaceDE w:val="0"/>
        <w:autoSpaceDN w:val="0"/>
        <w:spacing w:before="12" w:after="0" w:line="240" w:lineRule="auto"/>
        <w:ind w:right="162"/>
        <w:contextualSpacing w:val="0"/>
        <w:jc w:val="both"/>
      </w:pPr>
      <w:r w:rsidRPr="003E0A78">
        <w:rPr>
          <w:i/>
        </w:rPr>
        <w:t xml:space="preserve">Innovadores en consolidación: </w:t>
      </w:r>
      <w:r w:rsidRPr="003E0A78">
        <w:t>Tienen los recursos, el tamaño, y el mercado, para usar la innovación como potenciador de crecimiento, sin embargo, carecen de un sistema de innovación al interior de la empresa. Al igual que los Innovadores en Evolución, estas organizaciones tienen gran potencial de crecimiento, máxime cuando cuentan con los recursos para gestionar la innovación al interior de la empresa.</w:t>
      </w:r>
    </w:p>
    <w:p w14:paraId="37215891" w14:textId="77777777" w:rsidR="000612C8" w:rsidRPr="003E0A78" w:rsidRDefault="000612C8" w:rsidP="000612C8">
      <w:pPr>
        <w:pStyle w:val="Prrafodelista"/>
        <w:widowControl w:val="0"/>
        <w:numPr>
          <w:ilvl w:val="0"/>
          <w:numId w:val="1"/>
        </w:numPr>
        <w:tabs>
          <w:tab w:val="left" w:pos="837"/>
        </w:tabs>
        <w:autoSpaceDE w:val="0"/>
        <w:autoSpaceDN w:val="0"/>
        <w:spacing w:before="87" w:after="0" w:line="240" w:lineRule="auto"/>
        <w:ind w:right="162"/>
        <w:contextualSpacing w:val="0"/>
        <w:jc w:val="both"/>
      </w:pPr>
      <w:r w:rsidRPr="003E0A78">
        <w:rPr>
          <w:i/>
        </w:rPr>
        <w:t xml:space="preserve">Innovadores en evolución: </w:t>
      </w:r>
      <w:r w:rsidRPr="003E0A78">
        <w:t>Tienen grandes capacidades internas para innovar</w:t>
      </w:r>
      <w:r w:rsidRPr="003E0A78">
        <w:rPr>
          <w:spacing w:val="32"/>
        </w:rPr>
        <w:t xml:space="preserve"> </w:t>
      </w:r>
      <w:r w:rsidRPr="003E0A78">
        <w:t xml:space="preserve">a través de un sistema de innovación interno, pero aún no tienen el potencial, el tamaño, los activos, y capital para mover el mercado al cual pertenecen. Sin embargo, son organizaciones que tienen gran posibilidad </w:t>
      </w:r>
      <w:r w:rsidRPr="003E0A78">
        <w:lastRenderedPageBreak/>
        <w:t>de crecimiento en</w:t>
      </w:r>
      <w:r w:rsidRPr="003E0A78">
        <w:rPr>
          <w:spacing w:val="17"/>
        </w:rPr>
        <w:t xml:space="preserve"> </w:t>
      </w:r>
      <w:r w:rsidRPr="003E0A78">
        <w:t>el mercado usando la</w:t>
      </w:r>
      <w:r w:rsidRPr="003E0A78">
        <w:rPr>
          <w:spacing w:val="-1"/>
        </w:rPr>
        <w:t xml:space="preserve"> </w:t>
      </w:r>
      <w:r w:rsidRPr="003E0A78">
        <w:t>innovación.</w:t>
      </w:r>
    </w:p>
    <w:p w14:paraId="154F785D" w14:textId="77777777" w:rsidR="000612C8" w:rsidRPr="003E0A78" w:rsidRDefault="000612C8" w:rsidP="000612C8">
      <w:pPr>
        <w:pStyle w:val="Prrafodelista"/>
        <w:widowControl w:val="0"/>
        <w:numPr>
          <w:ilvl w:val="0"/>
          <w:numId w:val="1"/>
        </w:numPr>
        <w:tabs>
          <w:tab w:val="left" w:pos="837"/>
        </w:tabs>
        <w:autoSpaceDE w:val="0"/>
        <w:autoSpaceDN w:val="0"/>
        <w:spacing w:before="17" w:after="0" w:line="240" w:lineRule="auto"/>
        <w:ind w:right="162"/>
        <w:contextualSpacing w:val="0"/>
        <w:jc w:val="both"/>
      </w:pPr>
      <w:r w:rsidRPr="003E0A78">
        <w:rPr>
          <w:i/>
        </w:rPr>
        <w:t xml:space="preserve">Innovadores Avanzados: </w:t>
      </w:r>
      <w:r w:rsidRPr="003E0A78">
        <w:t>Líderes que cuentan con la capacidad de gestionar la innovación y de impactar el</w:t>
      </w:r>
      <w:r w:rsidRPr="003E0A78">
        <w:rPr>
          <w:spacing w:val="-2"/>
        </w:rPr>
        <w:t xml:space="preserve"> </w:t>
      </w:r>
      <w:r w:rsidRPr="003E0A78">
        <w:t>mercado.</w:t>
      </w:r>
    </w:p>
    <w:p w14:paraId="24C9386A" w14:textId="77777777" w:rsidR="000612C8" w:rsidRPr="003E0A78" w:rsidRDefault="000612C8" w:rsidP="000612C8">
      <w:pPr>
        <w:pStyle w:val="Prrafodelista"/>
        <w:widowControl w:val="0"/>
        <w:tabs>
          <w:tab w:val="left" w:pos="837"/>
        </w:tabs>
        <w:autoSpaceDE w:val="0"/>
        <w:autoSpaceDN w:val="0"/>
        <w:spacing w:before="17" w:after="0" w:line="240" w:lineRule="auto"/>
        <w:ind w:left="836" w:right="162"/>
        <w:contextualSpacing w:val="0"/>
        <w:jc w:val="both"/>
      </w:pPr>
    </w:p>
    <w:p w14:paraId="56860FED" w14:textId="77777777" w:rsidR="000612C8" w:rsidRPr="003E0A78" w:rsidRDefault="000612C8" w:rsidP="000612C8">
      <w:pPr>
        <w:pStyle w:val="Textoindependiente"/>
        <w:spacing w:before="120"/>
        <w:ind w:left="116"/>
        <w:jc w:val="both"/>
        <w:rPr>
          <w:rFonts w:ascii="Arial Narrow" w:hAnsi="Arial Narrow"/>
          <w:sz w:val="22"/>
          <w:szCs w:val="22"/>
        </w:rPr>
      </w:pPr>
      <w:r w:rsidRPr="003E0A78">
        <w:rPr>
          <w:rFonts w:ascii="Arial Narrow" w:hAnsi="Arial Narrow"/>
          <w:sz w:val="22"/>
          <w:szCs w:val="22"/>
          <w:u w:val="single"/>
        </w:rPr>
        <w:t>Recomendaciones al diligenciar el autodiagnóstico</w:t>
      </w:r>
      <w:r w:rsidRPr="003E0A78">
        <w:rPr>
          <w:rFonts w:ascii="Arial Narrow" w:hAnsi="Arial Narrow"/>
          <w:sz w:val="22"/>
          <w:szCs w:val="22"/>
        </w:rPr>
        <w:t>:</w:t>
      </w:r>
    </w:p>
    <w:p w14:paraId="701DD3A2" w14:textId="77777777" w:rsidR="000612C8" w:rsidRPr="003E0A78" w:rsidRDefault="000612C8" w:rsidP="000612C8">
      <w:pPr>
        <w:pStyle w:val="Textoindependiente"/>
        <w:spacing w:before="9"/>
        <w:rPr>
          <w:rFonts w:ascii="Arial Narrow" w:hAnsi="Arial Narrow"/>
          <w:sz w:val="22"/>
          <w:szCs w:val="22"/>
        </w:rPr>
      </w:pPr>
    </w:p>
    <w:p w14:paraId="434CD434" w14:textId="77777777" w:rsidR="000612C8" w:rsidRPr="003E0A78" w:rsidRDefault="000612C8" w:rsidP="000612C8">
      <w:pPr>
        <w:pStyle w:val="Prrafodelista"/>
        <w:widowControl w:val="0"/>
        <w:numPr>
          <w:ilvl w:val="0"/>
          <w:numId w:val="1"/>
        </w:numPr>
        <w:tabs>
          <w:tab w:val="left" w:pos="837"/>
        </w:tabs>
        <w:autoSpaceDE w:val="0"/>
        <w:autoSpaceDN w:val="0"/>
        <w:spacing w:before="120" w:after="0" w:line="240" w:lineRule="auto"/>
        <w:ind w:left="833" w:right="164" w:hanging="357"/>
        <w:contextualSpacing w:val="0"/>
        <w:jc w:val="both"/>
      </w:pPr>
      <w:r w:rsidRPr="003E0A78">
        <w:t>Una vez ingrese a la página</w:t>
      </w:r>
      <w:r w:rsidRPr="003E0A78">
        <w:rPr>
          <w:color w:val="0563C1"/>
        </w:rPr>
        <w:t xml:space="preserve"> </w:t>
      </w:r>
      <w:hyperlink r:id="rId9" w:history="1">
        <w:r w:rsidRPr="003E0A78">
          <w:rPr>
            <w:rStyle w:val="Hipervnculo"/>
          </w:rPr>
          <w:t>http://pactosporlainnovacion.minciencias.gov.co/</w:t>
        </w:r>
      </w:hyperlink>
      <w:r w:rsidRPr="003E0A78">
        <w:t xml:space="preserve"> deberá ingresar a ‘Hazte firmante’ &gt; ‘Como Organización’. Cada persona de la empresa que vaya a diligenciar el autodiagnóstico deberá crear un usuario nuevo que se asociará a la empresa por medio del</w:t>
      </w:r>
      <w:r w:rsidRPr="003E0A78">
        <w:rPr>
          <w:spacing w:val="-1"/>
        </w:rPr>
        <w:t xml:space="preserve"> </w:t>
      </w:r>
      <w:r w:rsidRPr="003E0A78">
        <w:t>NIT.</w:t>
      </w:r>
    </w:p>
    <w:p w14:paraId="7575AD86" w14:textId="77777777" w:rsidR="000612C8" w:rsidRPr="003E0A78" w:rsidRDefault="000612C8" w:rsidP="000612C8">
      <w:pPr>
        <w:pStyle w:val="Prrafodelista"/>
        <w:widowControl w:val="0"/>
        <w:numPr>
          <w:ilvl w:val="0"/>
          <w:numId w:val="1"/>
        </w:numPr>
        <w:tabs>
          <w:tab w:val="left" w:pos="837"/>
        </w:tabs>
        <w:autoSpaceDE w:val="0"/>
        <w:autoSpaceDN w:val="0"/>
        <w:spacing w:before="120" w:after="0" w:line="240" w:lineRule="auto"/>
        <w:ind w:left="833" w:right="164" w:hanging="357"/>
        <w:contextualSpacing w:val="0"/>
        <w:jc w:val="both"/>
      </w:pPr>
      <w:r w:rsidRPr="003E0A78">
        <w:t>Para realizar el autodiagnóstico, deberá ingresar al menú ‘Mi cuenta’ &gt; ‘Autodiagnóstico’</w:t>
      </w:r>
    </w:p>
    <w:p w14:paraId="08E78FDB" w14:textId="77777777" w:rsidR="004B1A32" w:rsidRDefault="004B1A32"/>
    <w:sectPr w:rsidR="004B1A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7CBE"/>
    <w:multiLevelType w:val="hybridMultilevel"/>
    <w:tmpl w:val="C6E00610"/>
    <w:lvl w:ilvl="0" w:tplc="FABA5102">
      <w:numFmt w:val="bullet"/>
      <w:lvlText w:val=""/>
      <w:lvlJc w:val="left"/>
      <w:pPr>
        <w:ind w:left="836" w:hanging="360"/>
      </w:pPr>
      <w:rPr>
        <w:rFonts w:ascii="Symbol" w:eastAsia="Symbol" w:hAnsi="Symbol" w:cs="Symbol" w:hint="default"/>
        <w:w w:val="100"/>
        <w:sz w:val="24"/>
        <w:szCs w:val="24"/>
        <w:lang w:val="es-ES" w:eastAsia="es-ES" w:bidi="es-ES"/>
      </w:rPr>
    </w:lvl>
    <w:lvl w:ilvl="1" w:tplc="0AA4A592">
      <w:numFmt w:val="bullet"/>
      <w:lvlText w:val="•"/>
      <w:lvlJc w:val="left"/>
      <w:pPr>
        <w:ind w:left="1668" w:hanging="360"/>
      </w:pPr>
      <w:rPr>
        <w:rFonts w:hint="default"/>
        <w:lang w:val="es-ES" w:eastAsia="es-ES" w:bidi="es-ES"/>
      </w:rPr>
    </w:lvl>
    <w:lvl w:ilvl="2" w:tplc="63C87662">
      <w:numFmt w:val="bullet"/>
      <w:lvlText w:val="•"/>
      <w:lvlJc w:val="left"/>
      <w:pPr>
        <w:ind w:left="2496" w:hanging="360"/>
      </w:pPr>
      <w:rPr>
        <w:rFonts w:hint="default"/>
        <w:lang w:val="es-ES" w:eastAsia="es-ES" w:bidi="es-ES"/>
      </w:rPr>
    </w:lvl>
    <w:lvl w:ilvl="3" w:tplc="19F0577C">
      <w:numFmt w:val="bullet"/>
      <w:lvlText w:val="•"/>
      <w:lvlJc w:val="left"/>
      <w:pPr>
        <w:ind w:left="3324" w:hanging="360"/>
      </w:pPr>
      <w:rPr>
        <w:rFonts w:hint="default"/>
        <w:lang w:val="es-ES" w:eastAsia="es-ES" w:bidi="es-ES"/>
      </w:rPr>
    </w:lvl>
    <w:lvl w:ilvl="4" w:tplc="942624F0">
      <w:numFmt w:val="bullet"/>
      <w:lvlText w:val="•"/>
      <w:lvlJc w:val="left"/>
      <w:pPr>
        <w:ind w:left="4152" w:hanging="360"/>
      </w:pPr>
      <w:rPr>
        <w:rFonts w:hint="default"/>
        <w:lang w:val="es-ES" w:eastAsia="es-ES" w:bidi="es-ES"/>
      </w:rPr>
    </w:lvl>
    <w:lvl w:ilvl="5" w:tplc="8C7281DC">
      <w:numFmt w:val="bullet"/>
      <w:lvlText w:val="•"/>
      <w:lvlJc w:val="left"/>
      <w:pPr>
        <w:ind w:left="4980" w:hanging="360"/>
      </w:pPr>
      <w:rPr>
        <w:rFonts w:hint="default"/>
        <w:lang w:val="es-ES" w:eastAsia="es-ES" w:bidi="es-ES"/>
      </w:rPr>
    </w:lvl>
    <w:lvl w:ilvl="6" w:tplc="582AA6D2">
      <w:numFmt w:val="bullet"/>
      <w:lvlText w:val="•"/>
      <w:lvlJc w:val="left"/>
      <w:pPr>
        <w:ind w:left="5808" w:hanging="360"/>
      </w:pPr>
      <w:rPr>
        <w:rFonts w:hint="default"/>
        <w:lang w:val="es-ES" w:eastAsia="es-ES" w:bidi="es-ES"/>
      </w:rPr>
    </w:lvl>
    <w:lvl w:ilvl="7" w:tplc="64E87A1A">
      <w:numFmt w:val="bullet"/>
      <w:lvlText w:val="•"/>
      <w:lvlJc w:val="left"/>
      <w:pPr>
        <w:ind w:left="6636" w:hanging="360"/>
      </w:pPr>
      <w:rPr>
        <w:rFonts w:hint="default"/>
        <w:lang w:val="es-ES" w:eastAsia="es-ES" w:bidi="es-ES"/>
      </w:rPr>
    </w:lvl>
    <w:lvl w:ilvl="8" w:tplc="CE82F1B6">
      <w:numFmt w:val="bullet"/>
      <w:lvlText w:val="•"/>
      <w:lvlJc w:val="left"/>
      <w:pPr>
        <w:ind w:left="7464"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C8"/>
    <w:rsid w:val="000612C8"/>
    <w:rsid w:val="00301CE7"/>
    <w:rsid w:val="004B1A32"/>
    <w:rsid w:val="00740DD0"/>
    <w:rsid w:val="009810B6"/>
    <w:rsid w:val="00B239C5"/>
    <w:rsid w:val="00FD4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9D51"/>
  <w15:chartTrackingRefBased/>
  <w15:docId w15:val="{E23581A5-4629-4BD2-B398-129AF08A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612C8"/>
    <w:pPr>
      <w:spacing w:after="200" w:line="276" w:lineRule="auto"/>
    </w:pPr>
    <w:rPr>
      <w:rFonts w:ascii="Arial Narrow" w:eastAsia="Arial Narrow" w:hAnsi="Arial Narrow" w:cs="Arial Narrow"/>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Bullet List,FooterText,List Paragraph1,numbered,Paragraphe de liste1,Bulletr List Paragraph,Foot,列出段落,列出段落1,List Paragraph2,List Paragraph21,Párrafo de lista1,Parágrafo da Lista1,リスト段落1,Listeafsnit1,Scitum normal,subcapitulo"/>
    <w:basedOn w:val="Normal"/>
    <w:link w:val="PrrafodelistaCar"/>
    <w:uiPriority w:val="34"/>
    <w:qFormat/>
    <w:rsid w:val="000612C8"/>
    <w:pPr>
      <w:ind w:left="720"/>
      <w:contextualSpacing/>
    </w:pPr>
  </w:style>
  <w:style w:type="character" w:styleId="Hipervnculo">
    <w:name w:val="Hyperlink"/>
    <w:basedOn w:val="Fuentedeprrafopredeter"/>
    <w:uiPriority w:val="99"/>
    <w:unhideWhenUsed/>
    <w:rsid w:val="000612C8"/>
    <w:rPr>
      <w:color w:val="0563C1" w:themeColor="hyperlink"/>
      <w:u w:val="single"/>
    </w:rPr>
  </w:style>
  <w:style w:type="paragraph" w:styleId="Textoindependiente">
    <w:name w:val="Body Text"/>
    <w:basedOn w:val="Normal"/>
    <w:link w:val="TextoindependienteCar"/>
    <w:uiPriority w:val="1"/>
    <w:unhideWhenUsed/>
    <w:qFormat/>
    <w:rsid w:val="000612C8"/>
    <w:pPr>
      <w:widowControl w:val="0"/>
      <w:autoSpaceDE w:val="0"/>
      <w:autoSpaceDN w:val="0"/>
      <w:spacing w:after="0" w:line="240" w:lineRule="auto"/>
    </w:pPr>
    <w:rPr>
      <w:rFonts w:ascii="Calibri" w:eastAsia="Calibri" w:hAnsi="Calibri" w:cs="Calibri"/>
      <w:color w:val="auto"/>
      <w:sz w:val="24"/>
      <w:szCs w:val="24"/>
      <w:lang w:val="es-ES" w:eastAsia="es-ES" w:bidi="es-ES"/>
    </w:rPr>
  </w:style>
  <w:style w:type="character" w:customStyle="1" w:styleId="TextoindependienteCar">
    <w:name w:val="Texto independiente Car"/>
    <w:basedOn w:val="Fuentedeprrafopredeter"/>
    <w:link w:val="Textoindependiente"/>
    <w:uiPriority w:val="1"/>
    <w:rsid w:val="000612C8"/>
    <w:rPr>
      <w:rFonts w:ascii="Calibri" w:eastAsia="Calibri" w:hAnsi="Calibri" w:cs="Calibri"/>
      <w:sz w:val="24"/>
      <w:szCs w:val="24"/>
      <w:lang w:val="es-ES" w:eastAsia="es-ES" w:bidi="es-ES"/>
    </w:rPr>
  </w:style>
  <w:style w:type="character" w:customStyle="1" w:styleId="PrrafodelistaCar">
    <w:name w:val="Párrafo de lista Car"/>
    <w:aliases w:val="TITULO 2 Car,Bullet List Car,FooterText Car,List Paragraph1 Car,numbered Car,Paragraphe de liste1 Car,Bulletr List Paragraph Car,Foot Car,列出段落 Car,列出段落1 Car,List Paragraph2 Car,List Paragraph21 Car,Párrafo de lista1 Car,リスト段落1 Car"/>
    <w:link w:val="Prrafodelista"/>
    <w:uiPriority w:val="34"/>
    <w:rsid w:val="000612C8"/>
    <w:rPr>
      <w:rFonts w:ascii="Arial Narrow" w:eastAsia="Arial Narrow" w:hAnsi="Arial Narrow" w:cs="Arial Narrow"/>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ctosporlainnovacion.minciencia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4978818F4DC4E9ADD80F9ACC10AE8" ma:contentTypeVersion="13" ma:contentTypeDescription="Create a new document." ma:contentTypeScope="" ma:versionID="ba41e311221671d32b589131bce46745">
  <xsd:schema xmlns:xsd="http://www.w3.org/2001/XMLSchema" xmlns:xs="http://www.w3.org/2001/XMLSchema" xmlns:p="http://schemas.microsoft.com/office/2006/metadata/properties" xmlns:ns3="7ee50d5f-4ba8-4657-bd98-4ce3174809b5" xmlns:ns4="5e7d2b1c-94ab-4f0e-a584-852f359426af" targetNamespace="http://schemas.microsoft.com/office/2006/metadata/properties" ma:root="true" ma:fieldsID="cb7bacd53565e0d955b576c321dc2d4b" ns3:_="" ns4:_="">
    <xsd:import namespace="7ee50d5f-4ba8-4657-bd98-4ce3174809b5"/>
    <xsd:import namespace="5e7d2b1c-94ab-4f0e-a584-852f35942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50d5f-4ba8-4657-bd98-4ce317480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d2b1c-94ab-4f0e-a584-852f35942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1D6E0-447D-4A74-9680-E22EB42F3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70A06-D94E-42CA-A093-009EEB7E15F6}">
  <ds:schemaRefs>
    <ds:schemaRef ds:uri="http://schemas.microsoft.com/sharepoint/v3/contenttype/forms"/>
  </ds:schemaRefs>
</ds:datastoreItem>
</file>

<file path=customXml/itemProps3.xml><?xml version="1.0" encoding="utf-8"?>
<ds:datastoreItem xmlns:ds="http://schemas.openxmlformats.org/officeDocument/2006/customXml" ds:itemID="{2DEA628C-C3E8-4548-B2E3-54AB610F1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50d5f-4ba8-4657-bd98-4ce3174809b5"/>
    <ds:schemaRef ds:uri="5e7d2b1c-94ab-4f0e-a584-852f35942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Elizabeth Garcia Ramirez</dc:creator>
  <cp:keywords/>
  <dc:description/>
  <cp:lastModifiedBy>Daniela Osorio M</cp:lastModifiedBy>
  <cp:revision>6</cp:revision>
  <dcterms:created xsi:type="dcterms:W3CDTF">2020-02-26T19:28:00Z</dcterms:created>
  <dcterms:modified xsi:type="dcterms:W3CDTF">2021-01-12T20:10:00Z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0x010100CBF4978818F4DC4E9ADD80F9ACC10AE8</vt:lpwstr>
  </property>
</Properties>
</file>